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Synthetic hematology case - English language comparison test</w:t>
      </w:r>
    </w:p>
    <w:p>
      <w:r>
        <w:t>Synthetic teaching case - non-patient data - local HemaGuide test only</w:t>
      </w:r>
    </w:p>
    <w:p>
      <w:r>
        <w:t>Tumor board case summary</w:t>
      </w:r>
    </w:p>
    <w:p>
      <w:r>
        <w:t>Tumor board type: Hematology tumor board - treatment decision</w:t>
      </w:r>
    </w:p>
    <w:p>
      <w:r>
        <w:t>Patient ID: EN_HIST_03</w:t>
      </w:r>
    </w:p>
    <w:p>
      <w:r>
        <w:t>Age: 78</w:t>
      </w:r>
    </w:p>
    <w:p>
      <w:r>
        <w:t>ECOG: 2</w:t>
      </w:r>
    </w:p>
    <w:p>
      <w:r>
        <w:t>Main diagnosis: Newly diagnosed acute myeloid leukemia (AML), not fit for intensive chemotherapy</w:t>
      </w:r>
    </w:p>
    <w:p>
      <w:r>
        <w:t>Comorbidities: Heart failure with preserved ejection fraction; chronic atrial fibrillation; frailty</w:t>
      </w:r>
    </w:p>
    <w:p>
      <w:r>
        <w:t>Predictive/molecular factors: TP53 mutation; complex karyotype; no actionable IDH1/2 mutation detected</w:t>
      </w:r>
    </w:p>
    <w:p>
      <w:r>
        <w:t>Clinical history</w:t>
      </w:r>
    </w:p>
    <w:p>
      <w:r>
        <w:t>The patient presented with transfusion-dependent anemia and recurrent infections. Bone marrow biopsy showed AML evolved from a previous myelodysplasia-related disorder. Geriatric assessment showed reduced functional capacity and high toxicity risk from intensive chemotherapy. No AML treatment had been given previously. Erythropoietin had been used for suspected MDS with limited and non-durable benefit.</w:t>
      </w:r>
    </w:p>
    <w:p>
      <w:r>
        <w:t>Clinical question</w:t>
      </w:r>
    </w:p>
    <w:p>
      <w:r>
        <w:t>What low-intensity treatment strategy is most appropriate?</w:t>
      </w:r>
    </w:p>
    <w:p>
      <w:r>
        <w:t>Board decision</w:t>
      </w:r>
    </w:p>
    <w:p>
      <w:r>
        <w:t>Recommend azacitidine combined with venetoclax, with cautious dose escalation, infection prophylaxis, transfusion support, and early response assessment after the first cycle. Treatment goals and clinical-trial options should also be discussed.</w:t>
      </w:r>
    </w:p>
    <w:p>
      <w:r>
        <w:t>Reason</w:t>
      </w:r>
    </w:p>
    <w:p>
      <w:r>
        <w:t>Recommend azacitidine combined with venetoclax, with cautious dose escalation, infection prophylaxis, transfusion support, and early response assessment after the first cycle. Treatment goals and clinical-trial options should also be discussed.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