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hematology case - English language comparison test</w:t>
      </w:r>
    </w:p>
    <w:p>
      <w:r>
        <w:t>Synthetic teaching case - non-patient data - local HemaGuide test only</w:t>
      </w:r>
    </w:p>
    <w:p>
      <w:r>
        <w:t>Tumor board case summary</w:t>
      </w:r>
    </w:p>
    <w:p>
      <w:r>
        <w:t>Tumor board type: Hematology tumor board - treatment decision</w:t>
      </w:r>
    </w:p>
    <w:p>
      <w:r>
        <w:t>Patient ID: EN_HIST_04</w:t>
      </w:r>
    </w:p>
    <w:p>
      <w:r>
        <w:t>Age: 49</w:t>
      </w:r>
    </w:p>
    <w:p>
      <w:r>
        <w:t>ECOG: 1</w:t>
      </w:r>
    </w:p>
    <w:p>
      <w:r>
        <w:t>Main diagnosis: Relapsed acute myeloid leukemia (AML) after first remission</w:t>
      </w:r>
    </w:p>
    <w:p>
      <w:r>
        <w:t>Comorbidities: No important comorbidity</w:t>
      </w:r>
    </w:p>
    <w:p>
      <w:r>
        <w:t>Predictive/molecular factors: IDH1 R132C mutation; NPM1 mutation remains positive at relapse</w:t>
      </w:r>
    </w:p>
    <w:p>
      <w:r>
        <w:t>Clinical history</w:t>
      </w:r>
    </w:p>
    <w:p>
      <w:r>
        <w:t>The patient achieved complete remission after 7+3 induction and high-dose cytarabine consolidation. Eleven months after diagnosis, rising blasts indicated relapse. An unrelated donor search had been started, but transplantation was not performed in first remission. Prior treatment included 7+3 induction and three cycles of high-dose cytarabine consolidation. No IDH-targeted treatment had been given.</w:t>
      </w:r>
    </w:p>
    <w:p>
      <w:r>
        <w:t>Clinical question</w:t>
      </w:r>
    </w:p>
    <w:p>
      <w:r>
        <w:t>Should intensive salvage chemotherapy or IDH1-targeted treatment be used as a bridge to transplantation?</w:t>
      </w:r>
    </w:p>
    <w:p>
      <w:r>
        <w:t>Board decision</w:t>
      </w:r>
    </w:p>
    <w:p>
      <w:r>
        <w:t>The goal should be a second remission followed by allogeneic transplantation. An IDH1-inhibitor-based regimen or a clinical trial may be considered, particularly when lower toxicity and disease control are priorities.</w:t>
      </w:r>
    </w:p>
    <w:p>
      <w:r>
        <w:t>Reason</w:t>
      </w:r>
    </w:p>
    <w:p>
      <w:r>
        <w:t>The goal should be a second remission followed by allogeneic transplantation. An IDH1-inhibitor-based regimen or a clinical trial may be considered, particularly when lower toxicity and disease control are priorities.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