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hematology case - English language comparison test</w:t>
      </w:r>
    </w:p>
    <w:p>
      <w:r>
        <w:t>Synthetic teaching case - non-patient data - local HemaGuide test only</w:t>
      </w:r>
    </w:p>
    <w:p>
      <w:r>
        <w:t>Tumor board case summary</w:t>
      </w:r>
    </w:p>
    <w:p>
      <w:r>
        <w:t>Tumor board type: Hematology tumor board - treatment decision</w:t>
      </w:r>
    </w:p>
    <w:p>
      <w:r>
        <w:t>Patient ID: EN_HIST_05</w:t>
      </w:r>
    </w:p>
    <w:p>
      <w:r>
        <w:t>Age: 36</w:t>
      </w:r>
    </w:p>
    <w:p>
      <w:r>
        <w:t>ECOG: 0</w:t>
      </w:r>
    </w:p>
    <w:p>
      <w:r>
        <w:t>Main diagnosis: Newly diagnosed Philadelphia chromosome-positive B-cell acute lymphoblastic leukemia (Ph-positive B-ALL)</w:t>
      </w:r>
    </w:p>
    <w:p>
      <w:r>
        <w:t>Comorbidities: No important comorbidity</w:t>
      </w:r>
    </w:p>
    <w:p>
      <w:r>
        <w:t>Predictive/molecular factors: BCR::ABL1 p190 positive; CD19 positive; weak CD20 expression</w:t>
      </w:r>
    </w:p>
    <w:p>
      <w:r>
        <w:t>Clinical history</w:t>
      </w:r>
    </w:p>
    <w:p>
      <w:r>
        <w:t>The patient presented with skin bruising and lymphocytosis. Bone marrow showed 89% lymphoblasts expressing CD19, CD10, TdT, and CD34. Central nervous system staging was negative. The patient was fit and wanted fertility counseling without a major delay in treatment. No prior leukemia treatment had been given; steroid pre-treatment was started after diagnostic sampling. The patient was considered fit for a pediatric-inspired or intensive regimen.</w:t>
      </w:r>
    </w:p>
    <w:p>
      <w:r>
        <w:t>Clinical question</w:t>
      </w:r>
    </w:p>
    <w:p>
      <w:r>
        <w:t>What first-line regimen should be used? How should MRD guide the transplantation discussion?</w:t>
      </w:r>
    </w:p>
    <w:p>
      <w:r>
        <w:t>Board decision</w:t>
      </w:r>
    </w:p>
    <w:p>
      <w:r>
        <w:t>Recommend an ALL induction regimen incorporating a tyrosine kinase inhibitor, CNS prophylaxis, and response monitoring with BCR::ABL1 and flow-cytometry MRD. Allogeneic transplantation should be discussed according to MRD response, regimen type, and donor availability.</w:t>
      </w:r>
    </w:p>
    <w:p>
      <w:r>
        <w:t>Reason</w:t>
      </w:r>
    </w:p>
    <w:p>
      <w:r>
        <w:t>Recommend an ALL induction regimen incorporating a tyrosine kinase inhibitor, CNS prophylaxis, and response monitoring with BCR::ABL1 and flow-cytometry MRD. Allogeneic transplantation should be discussed according to MRD response, regimen type, and donor availability.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