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Synthetic hematology case - English language comparison test</w:t>
      </w:r>
    </w:p>
    <w:p>
      <w:r>
        <w:t>Synthetic teaching case - non-patient data - local HemaGuide test only</w:t>
      </w:r>
    </w:p>
    <w:p>
      <w:r>
        <w:t>Tumor board case summary</w:t>
      </w:r>
    </w:p>
    <w:p>
      <w:r>
        <w:t>Tumor board type: Hematology tumor board - treatment decision</w:t>
      </w:r>
    </w:p>
    <w:p>
      <w:r>
        <w:t>Patient ID: EN_QUERY_01</w:t>
      </w:r>
    </w:p>
    <w:p>
      <w:r>
        <w:t>Age: 71</w:t>
      </w:r>
    </w:p>
    <w:p>
      <w:r>
        <w:t>ECOG: 1-2</w:t>
      </w:r>
    </w:p>
    <w:p>
      <w:r>
        <w:t>Main diagnosis: Secondary acute myeloid leukemia (AML) transformed from myelodysplastic syndrome, relapsed after azacitidine plus venetoclax</w:t>
      </w:r>
    </w:p>
    <w:p>
      <w:r>
        <w:t>Comorbidities: Coronary artery disease after stenting; stage 3a chronic kidney disease</w:t>
      </w:r>
    </w:p>
    <w:p>
      <w:r>
        <w:t>Predictive/molecular factors: FLT3-ITD negative; IDH1/2 wild type; persistent ASXL1 and RUNX1 mutations</w:t>
      </w:r>
    </w:p>
    <w:p>
      <w:r>
        <w:t>Clinical history</w:t>
      </w:r>
    </w:p>
    <w:p>
      <w:r>
        <w:t>The patient had MDS-EB for 14 months and then progressed to AML. Intensive induction was not selected because of comorbidities and patient preference. Azacitidine plus venetoclax produced morphologic leukemia-free status after cycle 2, but blood-count recovery was poor. After six cycles, bone marrow showed recurrent AML. Prior treatment included four cycles of azacitidine for MDS and six cycles of azacitidine plus venetoclax after AML transformation, with transfusion support and infection prophylaxis.</w:t>
      </w:r>
    </w:p>
    <w:p>
      <w:r>
        <w:t>Clinical question</w:t>
      </w:r>
    </w:p>
    <w:p>
      <w:r>
        <w:t>After failure of azacitidine plus venetoclax, should the next step be intensive salvage chemotherapy, a clinical trial, targeted therapy, or best supportive care?</w:t>
      </w:r>
    </w:p>
    <w:p>
      <w:r>
        <w:t>Requested output</w:t>
      </w:r>
    </w:p>
    <w:p>
      <w:r>
        <w:t>Provide a tumor-board-style treatment recommendation in English based on the case memory, guideline reasoning, and the specific clinical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