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sz w:val="40"/>
        </w:rPr>
        <w:t>模拟白血病历史病例 001 - 新诊断 AML，NPM1 突变</w:t>
      </w:r>
    </w:p>
    <w:p>
      <w:r>
        <w:rPr>
          <w:i/>
          <w:sz w:val="20"/>
        </w:rPr>
        <w:t>模拟教学病例 - 非真实患者资料 - 仅用于本地 HemaGuide 流程测试</w:t>
      </w:r>
    </w:p>
    <w:p>
      <w:pPr>
        <w:pStyle w:val="Heading1"/>
      </w:pPr>
      <w:r>
        <w:t>肿瘤委员会病例摘要</w:t>
      </w:r>
    </w:p>
    <w:p>
      <w:r>
        <w:rPr>
          <w:b/>
        </w:rPr>
        <w:t>肿瘤委员会类型：</w:t>
      </w:r>
      <w:r>
        <w:t>血液肿瘤委员会 - 初始治疗决策</w:t>
      </w:r>
    </w:p>
    <w:p>
      <w:r>
        <w:rPr>
          <w:b/>
        </w:rPr>
        <w:t>患者编号：</w:t>
      </w:r>
      <w:r>
        <w:t>SIM-ZH-AML-001</w:t>
      </w:r>
    </w:p>
    <w:p>
      <w:r>
        <w:rPr>
          <w:b/>
        </w:rPr>
        <w:t>年龄：</w:t>
      </w:r>
      <w:r>
        <w:t>54 岁</w:t>
      </w:r>
    </w:p>
    <w:p>
      <w:r>
        <w:rPr>
          <w:b/>
        </w:rPr>
        <w:t>性别：</w:t>
      </w:r>
      <w:r>
        <w:t>女</w:t>
      </w:r>
    </w:p>
    <w:p>
      <w:r>
        <w:rPr>
          <w:b/>
        </w:rPr>
        <w:t>ECOG：</w:t>
      </w:r>
      <w:r>
        <w:t>1</w:t>
      </w:r>
    </w:p>
    <w:p>
      <w:r>
        <w:rPr>
          <w:b/>
        </w:rPr>
        <w:t>主要诊断：</w:t>
      </w:r>
      <w:r>
        <w:t>急性髓系白血病 AML，新诊断</w:t>
      </w:r>
    </w:p>
    <w:p>
      <w:r>
        <w:rPr>
          <w:b/>
        </w:rPr>
        <w:t>合并诊断：</w:t>
      </w:r>
      <w:r>
        <w:t>高血压，控制良好；无明显心脏疾病</w:t>
      </w:r>
    </w:p>
    <w:p>
      <w:r>
        <w:rPr>
          <w:b/>
        </w:rPr>
        <w:t>危险分层：</w:t>
      </w:r>
      <w:r>
        <w:t>ELN 2022 有利风险：NPM1 突变，FLT3-ITD 阴性</w:t>
      </w:r>
    </w:p>
    <w:p>
      <w:r>
        <w:rPr>
          <w:b/>
        </w:rPr>
        <w:t>预测/分子因素：</w:t>
      </w:r>
      <w:r>
        <w:t>NPM1 突变；FLT3-ITD 阴性；未检出 TP53 异常</w:t>
      </w:r>
    </w:p>
    <w:p>
      <w:pPr>
        <w:pStyle w:val="Heading2"/>
      </w:pPr>
      <w:r>
        <w:t>临床病史</w:t>
      </w:r>
    </w:p>
    <w:p>
      <w:r>
        <w:t>患者因乏力、牙龈出血和白细胞升高就诊。骨髓涂片提示 68% 髓系原始细胞，伴单核分化。</w:t>
      </w:r>
    </w:p>
    <w:p>
      <w:r>
        <w:t>基线超声心动图左室射血分数正常。讨论时无活动性感染，整体状况可耐受强化诱导治疗。</w:t>
      </w:r>
    </w:p>
    <w:p>
      <w:pPr>
        <w:pStyle w:val="Heading2"/>
      </w:pPr>
      <w:r>
        <w:t>既往治疗</w:t>
      </w:r>
    </w:p>
    <w:p>
      <w:pPr>
        <w:pStyle w:val="ListBullet"/>
      </w:pPr>
      <w:r>
        <w:t>既往未接受 AML 特异治疗。</w:t>
      </w:r>
    </w:p>
    <w:p>
      <w:pPr>
        <w:pStyle w:val="ListBullet"/>
      </w:pPr>
      <w:r>
        <w:t>诊断明确前曾短期使用羟基脲细胞减灭 3 天。</w:t>
      </w:r>
    </w:p>
    <w:p>
      <w:pPr>
        <w:pStyle w:val="Heading2"/>
      </w:pPr>
      <w:r>
        <w:t>当前状态</w:t>
      </w:r>
    </w:p>
    <w:p>
      <w:r>
        <w:rPr>
          <w:b/>
        </w:rPr>
        <w:t>血常规：</w:t>
      </w:r>
      <w:r>
        <w:t>WBC 42 x10^9/L，Hb 8.6 g/dL，PLT 34 x10^9/L</w:t>
      </w:r>
    </w:p>
    <w:p>
      <w:r>
        <w:rPr>
          <w:b/>
        </w:rPr>
        <w:t>骨髓情况：</w:t>
      </w:r>
      <w:r>
        <w:t>骨髓增生活跃，原始细胞 68%，免疫表型符合 AML</w:t>
      </w:r>
    </w:p>
    <w:p>
      <w:r>
        <w:rPr>
          <w:b/>
        </w:rPr>
        <w:t>可测量疾病：</w:t>
      </w:r>
      <w:r>
        <w:t>外周血和骨髓原始细胞；NPM1 可作为分子监测指标</w:t>
      </w:r>
    </w:p>
    <w:p>
      <w:r>
        <w:rPr>
          <w:b/>
        </w:rPr>
        <w:t>合并症和治疗限制：</w:t>
      </w:r>
      <w:r>
        <w:t>可耐受强化诱导；无严重肾肝功能不全</w:t>
      </w:r>
    </w:p>
    <w:p>
      <w:pPr>
        <w:pStyle w:val="Heading2"/>
      </w:pPr>
      <w:r>
        <w:t>分子和细胞遗传学</w:t>
      </w:r>
    </w:p>
    <w:p>
      <w:r>
        <w:rPr>
          <w:b/>
        </w:rPr>
        <w:t>核型/FISH：</w:t>
      </w:r>
      <w:r>
        <w:t>正常核型，AML FISH 阴性</w:t>
      </w:r>
    </w:p>
    <w:p>
      <w:r>
        <w:rPr>
          <w:b/>
        </w:rPr>
        <w:t>NGS/分子结果：</w:t>
      </w:r>
      <w:r>
        <w:t>NPM1 type A mutation VAF 0.38；DNMT3A p.R882H VAF 0.41；FLT3-ITD 未检出</w:t>
      </w:r>
    </w:p>
    <w:p>
      <w:r>
        <w:rPr>
          <w:b/>
        </w:rPr>
        <w:t>MRD：</w:t>
      </w:r>
      <w:r>
        <w:t>诱导前不适用</w:t>
      </w:r>
    </w:p>
    <w:p>
      <w:pPr>
        <w:pStyle w:val="Heading2"/>
      </w:pPr>
      <w:r>
        <w:t>临床问题</w:t>
      </w:r>
    </w:p>
    <w:p>
      <w:r>
        <w:t>患者是否应接受强化诱导化疗？首次缓解后是否需要 upfront 异基因造血干细胞移植？</w:t>
      </w:r>
    </w:p>
    <w:p>
      <w:r>
        <w:t>请用简体中文给出肿瘤委员会风格的治疗建议和简要理由。</w:t>
      </w:r>
    </w:p>
    <w:p>
      <w:pPr>
        <w:pStyle w:val="Heading2"/>
      </w:pPr>
      <w:r>
        <w:t>会议决定</w:t>
      </w:r>
    </w:p>
    <w:p>
      <w:r>
        <w:t>建议 7+3 标准强化诱导治疗，随后根据缓解情况和 NPM1 MRD 结果决定巩固策略。若 MRD 转阴且无新的不良因素，不建议首次完全缓解期常规 upfront 异基因移植。</w:t>
      </w:r>
    </w:p>
    <w:p>
      <w:pPr>
        <w:pStyle w:val="Heading2"/>
      </w:pPr>
      <w:r>
        <w:t>理由</w:t>
      </w:r>
    </w:p>
    <w:p>
      <w:r>
        <w:t>患者可耐受强化治疗，且属于 NPM1 突变、FLT3-ITD 阴性的有利风险 AML。MRD 指导的巩固治疗更合适。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