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sz w:val="40"/>
        </w:rPr>
        <w:t>模拟白血病新病例 - AZA+VEN 后复发的继发 AML</w:t>
      </w:r>
    </w:p>
    <w:p>
      <w:r>
        <w:rPr>
          <w:i/>
          <w:sz w:val="20"/>
        </w:rPr>
        <w:t>模拟教学病例 - 非真实患者资料 - 仅用于本地 HemaGuide 流程测试</w:t>
      </w:r>
    </w:p>
    <w:p>
      <w:pPr>
        <w:pStyle w:val="Heading1"/>
      </w:pPr>
      <w:r>
        <w:t>肿瘤委员会病例摘要</w:t>
      </w:r>
    </w:p>
    <w:p>
      <w:r>
        <w:rPr>
          <w:b/>
        </w:rPr>
        <w:t>肿瘤委员会类型：</w:t>
      </w:r>
      <w:r>
        <w:t>血液肿瘤委员会 - 请求当前治疗建议</w:t>
      </w:r>
    </w:p>
    <w:p>
      <w:r>
        <w:rPr>
          <w:b/>
        </w:rPr>
        <w:t>患者编号：</w:t>
      </w:r>
      <w:r>
        <w:t>SIM-ZH-QUERY-AML-101</w:t>
      </w:r>
    </w:p>
    <w:p>
      <w:r>
        <w:rPr>
          <w:b/>
        </w:rPr>
        <w:t>年龄：</w:t>
      </w:r>
      <w:r>
        <w:t>71 岁</w:t>
      </w:r>
    </w:p>
    <w:p>
      <w:r>
        <w:rPr>
          <w:b/>
        </w:rPr>
        <w:t>性别：</w:t>
      </w:r>
      <w:r>
        <w:t>男</w:t>
      </w:r>
    </w:p>
    <w:p>
      <w:r>
        <w:rPr>
          <w:b/>
        </w:rPr>
        <w:t>ECOG：</w:t>
      </w:r>
      <w:r>
        <w:t>1-2</w:t>
      </w:r>
    </w:p>
    <w:p>
      <w:r>
        <w:rPr>
          <w:b/>
        </w:rPr>
        <w:t>主要诊断：</w:t>
      </w:r>
      <w:r>
        <w:t>继发性急性髓系白血病 AML，由骨髓增生异常综合征转化，阿扎胞苷联合维奈克拉后复发</w:t>
      </w:r>
    </w:p>
    <w:p>
      <w:r>
        <w:rPr>
          <w:b/>
        </w:rPr>
        <w:t>合并诊断：</w:t>
      </w:r>
      <w:r>
        <w:t>冠心病支架术后；慢性肾病 3a 期</w:t>
      </w:r>
    </w:p>
    <w:p>
      <w:r>
        <w:rPr>
          <w:b/>
        </w:rPr>
        <w:t>危险分层：</w:t>
      </w:r>
      <w:r>
        <w:t>不良风险继发 AML，合并 ASXL1 和 RUNX1 突变</w:t>
      </w:r>
    </w:p>
    <w:p>
      <w:r>
        <w:rPr>
          <w:b/>
        </w:rPr>
        <w:t>预测/分子因素：</w:t>
      </w:r>
      <w:r>
        <w:t>FLT3-ITD 阴性；IDH1/2 野生型；ASXL1 和 RUNX1 突变持续存在</w:t>
      </w:r>
    </w:p>
    <w:p>
      <w:pPr>
        <w:pStyle w:val="Heading2"/>
      </w:pPr>
      <w:r>
        <w:t>临床病史</w:t>
      </w:r>
    </w:p>
    <w:p>
      <w:r>
        <w:t>患者既往诊断为 MDS-EB 14 个月，后进展为 AML。转化时因合并症和患者偏好，未选择强化诱导治疗。</w:t>
      </w:r>
    </w:p>
    <w:p>
      <w:r>
        <w:t>患者接受阿扎胞苷联合维奈克拉治疗，第 2 个疗程后达到形态学无白血病状态，但血细胞恢复差。完成 6 个疗程后，骨髓再次提示 AML 复发。</w:t>
      </w:r>
    </w:p>
    <w:p>
      <w:pPr>
        <w:pStyle w:val="Heading2"/>
      </w:pPr>
      <w:r>
        <w:t>既往治疗</w:t>
      </w:r>
    </w:p>
    <w:p>
      <w:pPr>
        <w:pStyle w:val="ListBullet"/>
      </w:pPr>
      <w:r>
        <w:t>MDS 阶段接受阿扎胞苷单药 4 个疗程。</w:t>
      </w:r>
    </w:p>
    <w:p>
      <w:pPr>
        <w:pStyle w:val="ListBullet"/>
      </w:pPr>
      <w:r>
        <w:t>转化 AML 后接受阿扎胞苷联合维奈克拉 6 个疗程。</w:t>
      </w:r>
    </w:p>
    <w:p>
      <w:pPr>
        <w:pStyle w:val="ListBullet"/>
      </w:pPr>
      <w:r>
        <w:t>输血支持和抗感染预防。</w:t>
      </w:r>
    </w:p>
    <w:p>
      <w:pPr>
        <w:pStyle w:val="Heading2"/>
      </w:pPr>
      <w:r>
        <w:t>当前状态</w:t>
      </w:r>
    </w:p>
    <w:p>
      <w:r>
        <w:rPr>
          <w:b/>
        </w:rPr>
        <w:t>血常规：</w:t>
      </w:r>
      <w:r>
        <w:t>WBC 2.1 x10^9/L，Hb 8.0 g/dL，PLT 16 x10^9/L，ANC 0.3 x10^9/L</w:t>
      </w:r>
    </w:p>
    <w:p>
      <w:r>
        <w:rPr>
          <w:b/>
        </w:rPr>
        <w:t>骨髓情况：</w:t>
      </w:r>
      <w:r>
        <w:t>28% 髓系原始细胞，既往治疗后背景偏低增生</w:t>
      </w:r>
    </w:p>
    <w:p>
      <w:r>
        <w:rPr>
          <w:b/>
        </w:rPr>
        <w:t>可测量疾病：</w:t>
      </w:r>
      <w:r>
        <w:t>骨髓原始细胞；持续存在的分子突变</w:t>
      </w:r>
    </w:p>
    <w:p>
      <w:r>
        <w:rPr>
          <w:b/>
        </w:rPr>
        <w:t>合并症和治疗限制：</w:t>
      </w:r>
      <w:r>
        <w:t>强化挽救治疗适应性边界；中性粒细胞减少持续；患者倾向尽可能门诊治疗</w:t>
      </w:r>
    </w:p>
    <w:p>
      <w:pPr>
        <w:pStyle w:val="Heading2"/>
      </w:pPr>
      <w:r>
        <w:t>分子和细胞遗传学</w:t>
      </w:r>
    </w:p>
    <w:p>
      <w:r>
        <w:rPr>
          <w:b/>
        </w:rPr>
        <w:t>核型/FISH：</w:t>
      </w:r>
      <w:r>
        <w:t>+8 和 del(20q)；未见复杂核型</w:t>
      </w:r>
    </w:p>
    <w:p>
      <w:r>
        <w:rPr>
          <w:b/>
        </w:rPr>
        <w:t>NGS/分子结果：</w:t>
      </w:r>
      <w:r>
        <w:t>ASXL1 frameshift VAF 0.39；RUNX1 p.R201Q VAF 0.31；SRSF2 p.P95H VAF 0.28；FLT3-ITD 阴性；IDH1/2 野生型</w:t>
      </w:r>
    </w:p>
    <w:p>
      <w:r>
        <w:rPr>
          <w:b/>
        </w:rPr>
        <w:t>MRD：</w:t>
      </w:r>
      <w:r>
        <w:t>非 MRD 阴性；形态学复发，原始细胞 28%</w:t>
      </w:r>
    </w:p>
    <w:p>
      <w:pPr>
        <w:pStyle w:val="Heading2"/>
      </w:pPr>
      <w:r>
        <w:t>临床问题</w:t>
      </w:r>
    </w:p>
    <w:p>
      <w:r>
        <w:t>阿扎胞苷联合维奈克拉失败后，应选择强化挽救化疗、临床试验、靶向治疗还是最佳支持治疗？</w:t>
      </w:r>
    </w:p>
    <w:p>
      <w:r>
        <w:t>请用简体中文给出肿瘤委员会风格的治疗建议和简要理由。</w:t>
      </w:r>
    </w:p>
    <w:p>
      <w:pPr>
        <w:pStyle w:val="Heading2"/>
      </w:pPr>
      <w:r>
        <w:t>请求输出</w:t>
      </w:r>
    </w:p>
    <w:p>
      <w:r>
        <w:t>请根据病例记忆库、指南思路和病例具体情况，输出中文治疗建议。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 w:val="0"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