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F4D59" w14:textId="34A30CC9" w:rsidR="002A2F5D" w:rsidRDefault="002A2F5D">
      <w:pPr>
        <w:rPr>
          <w:rFonts w:ascii="Segoe UI" w:hAnsi="Segoe UI" w:cs="Segoe UI"/>
          <w:color w:val="0F1419"/>
          <w:sz w:val="26"/>
          <w:szCs w:val="26"/>
          <w:shd w:val="clear" w:color="auto" w:fill="FFFFFF"/>
        </w:rPr>
      </w:pP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香港大学生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Martin Luk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，以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969.8%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的年收益率，夺得了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2025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年美国投资锦标赛股票组冠军。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 xml:space="preserve"> 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他最常用最经典的策略，叫回调买入法，这个策略非常适合小资金，试错成本很小。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 xml:space="preserve"> 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策略的操作顺序也很清楚，用四个步骤就能讲明白。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 xml:space="preserve"> 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综合来说，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Martin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专门寻找强势股回到支撑附近的机会，等价格重新回升时买入，让买点尽量靠近止损位置。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 xml:space="preserve"> 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目的就是用较小的试错成本，去争取强势股下一段上涨。</w:t>
      </w:r>
    </w:p>
    <w:p w14:paraId="6B259820" w14:textId="0141B148" w:rsidR="002A2F5D" w:rsidRDefault="002A2F5D">
      <w:r>
        <w:fldChar w:fldCharType="begin"/>
      </w:r>
      <w:r>
        <w:instrText xml:space="preserve"> INCLUDEPICTURE "https://pbs.twimg.com/media/HUZYu5JboAAmy75?format=jpg&amp;name=medium"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4713CD9" wp14:editId="73619297">
            <wp:extent cx="5274310" cy="2948940"/>
            <wp:effectExtent l="0" t="0" r="0" b="0"/>
            <wp:docPr id="447559535" name="图片 1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像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9B34393" w14:textId="77777777" w:rsidR="002A2F5D" w:rsidRDefault="002A2F5D"/>
    <w:p w14:paraId="0C019ECA" w14:textId="77777777" w:rsidR="002A2F5D" w:rsidRDefault="002A2F5D"/>
    <w:p w14:paraId="595D086C" w14:textId="08AF45E5" w:rsidR="002A2F5D" w:rsidRDefault="002A2F5D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>第一步：筛出强势股，挑选正在整理，逐渐转强的股票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打开选股器，分别按近</w:t>
      </w:r>
      <w:r>
        <w:rPr>
          <w:rFonts w:ascii="Segoe UI" w:hAnsi="Segoe UI" w:cs="Segoe UI"/>
          <w:color w:val="0F1419"/>
          <w:sz w:val="23"/>
          <w:szCs w:val="23"/>
        </w:rPr>
        <w:t>1</w:t>
      </w:r>
      <w:r>
        <w:rPr>
          <w:rFonts w:ascii="Segoe UI" w:hAnsi="Segoe UI" w:cs="Segoe UI"/>
          <w:color w:val="0F1419"/>
          <w:sz w:val="23"/>
          <w:szCs w:val="23"/>
        </w:rPr>
        <w:t>个月，</w:t>
      </w:r>
      <w:r>
        <w:rPr>
          <w:rFonts w:ascii="Segoe UI" w:hAnsi="Segoe UI" w:cs="Segoe UI"/>
          <w:color w:val="0F1419"/>
          <w:sz w:val="23"/>
          <w:szCs w:val="23"/>
        </w:rPr>
        <w:t>3</w:t>
      </w:r>
      <w:r>
        <w:rPr>
          <w:rFonts w:ascii="Segoe UI" w:hAnsi="Segoe UI" w:cs="Segoe UI"/>
          <w:color w:val="0F1419"/>
          <w:sz w:val="23"/>
          <w:szCs w:val="23"/>
        </w:rPr>
        <w:t>个月和</w:t>
      </w:r>
      <w:r>
        <w:rPr>
          <w:rFonts w:ascii="Segoe UI" w:hAnsi="Segoe UI" w:cs="Segoe UI"/>
          <w:color w:val="0F1419"/>
          <w:sz w:val="23"/>
          <w:szCs w:val="23"/>
        </w:rPr>
        <w:t>6</w:t>
      </w:r>
      <w:r>
        <w:rPr>
          <w:rFonts w:ascii="Segoe UI" w:hAnsi="Segoe UI" w:cs="Segoe UI"/>
          <w:color w:val="0F1419"/>
          <w:sz w:val="23"/>
          <w:szCs w:val="23"/>
        </w:rPr>
        <w:t>个月的涨幅排序，优先查看涨幅超过</w:t>
      </w:r>
      <w:r>
        <w:rPr>
          <w:rFonts w:ascii="Segoe UI" w:hAnsi="Segoe UI" w:cs="Segoe UI"/>
          <w:color w:val="0F1419"/>
          <w:sz w:val="23"/>
          <w:szCs w:val="23"/>
        </w:rPr>
        <w:t>30%</w:t>
      </w:r>
      <w:r>
        <w:rPr>
          <w:rFonts w:ascii="Segoe UI" w:hAnsi="Segoe UI" w:cs="Segoe UI"/>
          <w:color w:val="0F1419"/>
          <w:sz w:val="23"/>
          <w:szCs w:val="23"/>
        </w:rPr>
        <w:t>，排名靠前</w:t>
      </w:r>
      <w:r>
        <w:rPr>
          <w:rFonts w:ascii="Segoe UI" w:hAnsi="Segoe UI" w:cs="Segoe UI"/>
          <w:color w:val="0F1419"/>
          <w:sz w:val="23"/>
          <w:szCs w:val="23"/>
        </w:rPr>
        <w:t>20%</w:t>
      </w:r>
      <w:r>
        <w:rPr>
          <w:rFonts w:ascii="Segoe UI" w:hAnsi="Segoe UI" w:cs="Segoe UI"/>
          <w:color w:val="0F1419"/>
          <w:sz w:val="23"/>
          <w:szCs w:val="23"/>
        </w:rPr>
        <w:t>至</w:t>
      </w:r>
      <w:r>
        <w:rPr>
          <w:rFonts w:ascii="Segoe UI" w:hAnsi="Segoe UI" w:cs="Segoe UI"/>
          <w:color w:val="0F1419"/>
          <w:sz w:val="23"/>
          <w:szCs w:val="23"/>
        </w:rPr>
        <w:t>30%</w:t>
      </w:r>
      <w:r>
        <w:rPr>
          <w:rFonts w:ascii="Segoe UI" w:hAnsi="Segoe UI" w:cs="Segoe UI"/>
          <w:color w:val="0F1419"/>
          <w:sz w:val="23"/>
          <w:szCs w:val="23"/>
        </w:rPr>
        <w:t>的股票，再剔除成交稀少的品种。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把剩下的股票加入观察名单，逐只打开图表，寻找上涨后进入整理的股票。</w:t>
      </w:r>
      <w:r>
        <w:rPr>
          <w:rFonts w:ascii="Segoe UI" w:hAnsi="Segoe UI" w:cs="Segoe UI"/>
          <w:color w:val="0F1419"/>
          <w:sz w:val="23"/>
          <w:szCs w:val="23"/>
        </w:rPr>
        <w:t xml:space="preserve"> Martin</w:t>
      </w:r>
      <w:r>
        <w:rPr>
          <w:rFonts w:ascii="Segoe UI" w:hAnsi="Segoe UI" w:cs="Segoe UI"/>
          <w:color w:val="0F1419"/>
          <w:sz w:val="23"/>
          <w:szCs w:val="23"/>
        </w:rPr>
        <w:t>尤其关注热门题材中上涨较快的股票。同一个板块有多只股票一起走强时，他会从中寻找交易机会。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先看周线，了解此前的上涨和回落，再看日线里的整理过程。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重点观察三件事：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回调低点是否逐渐抬高，上下波动是否越来越小，股价是否重新站上开始走平或向上的</w:t>
      </w:r>
      <w:r>
        <w:rPr>
          <w:rFonts w:ascii="Segoe UI" w:hAnsi="Segoe UI" w:cs="Segoe UI"/>
          <w:color w:val="0F1419"/>
          <w:sz w:val="23"/>
          <w:szCs w:val="23"/>
        </w:rPr>
        <w:t>9</w:t>
      </w:r>
      <w:r>
        <w:rPr>
          <w:rFonts w:ascii="Segoe UI" w:hAnsi="Segoe UI" w:cs="Segoe UI"/>
          <w:color w:val="0F1419"/>
          <w:sz w:val="23"/>
          <w:szCs w:val="23"/>
        </w:rPr>
        <w:t>日，</w:t>
      </w:r>
      <w:r>
        <w:rPr>
          <w:rFonts w:ascii="Segoe UI" w:hAnsi="Segoe UI" w:cs="Segoe UI"/>
          <w:color w:val="0F1419"/>
          <w:sz w:val="23"/>
          <w:szCs w:val="23"/>
        </w:rPr>
        <w:t>21</w:t>
      </w:r>
      <w:r>
        <w:rPr>
          <w:rFonts w:ascii="Segoe UI" w:hAnsi="Segoe UI" w:cs="Segoe UI"/>
          <w:color w:val="0F1419"/>
          <w:sz w:val="23"/>
          <w:szCs w:val="23"/>
        </w:rPr>
        <w:t>日</w:t>
      </w:r>
      <w:r>
        <w:rPr>
          <w:rFonts w:ascii="Segoe UI" w:hAnsi="Segoe UI" w:cs="Segoe UI"/>
          <w:color w:val="0F1419"/>
          <w:sz w:val="23"/>
          <w:szCs w:val="23"/>
        </w:rPr>
        <w:lastRenderedPageBreak/>
        <w:t>EMA</w:t>
      </w:r>
      <w:r>
        <w:rPr>
          <w:rFonts w:ascii="Segoe UI" w:hAnsi="Segoe UI" w:cs="Segoe UI"/>
          <w:color w:val="0F1419"/>
          <w:sz w:val="23"/>
          <w:szCs w:val="23"/>
        </w:rPr>
        <w:t>，也就是指数移动平均线。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例如，前一次回落到</w:t>
      </w:r>
      <w:r>
        <w:rPr>
          <w:rFonts w:ascii="Segoe UI" w:hAnsi="Segoe UI" w:cs="Segoe UI"/>
          <w:color w:val="0F1419"/>
          <w:sz w:val="23"/>
          <w:szCs w:val="23"/>
        </w:rPr>
        <w:t>18</w:t>
      </w:r>
      <w:r>
        <w:rPr>
          <w:rFonts w:ascii="Segoe UI" w:hAnsi="Segoe UI" w:cs="Segoe UI"/>
          <w:color w:val="0F1419"/>
          <w:sz w:val="23"/>
          <w:szCs w:val="23"/>
        </w:rPr>
        <w:t>美元，这一次在</w:t>
      </w:r>
      <w:r>
        <w:rPr>
          <w:rFonts w:ascii="Segoe UI" w:hAnsi="Segoe UI" w:cs="Segoe UI"/>
          <w:color w:val="0F1419"/>
          <w:sz w:val="23"/>
          <w:szCs w:val="23"/>
        </w:rPr>
        <w:t>19</w:t>
      </w:r>
      <w:r>
        <w:rPr>
          <w:rFonts w:ascii="Segoe UI" w:hAnsi="Segoe UI" w:cs="Segoe UI"/>
          <w:color w:val="0F1419"/>
          <w:sz w:val="23"/>
          <w:szCs w:val="23"/>
        </w:rPr>
        <w:t>美元附近止跌，同时每天的波动开始缩小，就值得继续观察。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如果高点，低点都在下降，股价还压在向下的均线之下，就不符合这套回调买法的筛选方向。</w:t>
      </w:r>
    </w:p>
    <w:p w14:paraId="378293E5" w14:textId="4ADBCDEB" w:rsidR="002A2F5D" w:rsidRDefault="002A2F5D">
      <w:r>
        <w:fldChar w:fldCharType="begin"/>
      </w:r>
      <w:r>
        <w:instrText xml:space="preserve"> INCLUDEPICTURE "https://pbs.twimg.com/media/HUZY_CPbgAAJ_RD?format=jpg&amp;name=medium"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8CD08C8" wp14:editId="008008BC">
            <wp:extent cx="5274310" cy="2966720"/>
            <wp:effectExtent l="0" t="0" r="0" b="5080"/>
            <wp:docPr id="1531328582" name="图片 2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C298BD6" w14:textId="29CFE30C" w:rsidR="002A2F5D" w:rsidRDefault="002A2F5D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>第二步：标好支撑区域，等待买入信号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在日线上加入</w:t>
      </w:r>
      <w:r>
        <w:rPr>
          <w:rFonts w:ascii="Segoe UI" w:hAnsi="Segoe UI" w:cs="Segoe UI"/>
          <w:color w:val="0F1419"/>
          <w:sz w:val="23"/>
          <w:szCs w:val="23"/>
        </w:rPr>
        <w:t>9</w:t>
      </w:r>
      <w:r>
        <w:rPr>
          <w:rFonts w:ascii="Segoe UI" w:hAnsi="Segoe UI" w:cs="Segoe UI"/>
          <w:color w:val="0F1419"/>
          <w:sz w:val="23"/>
          <w:szCs w:val="23"/>
        </w:rPr>
        <w:t>日，</w:t>
      </w:r>
      <w:r>
        <w:rPr>
          <w:rFonts w:ascii="Segoe UI" w:hAnsi="Segoe UI" w:cs="Segoe UI"/>
          <w:color w:val="0F1419"/>
          <w:sz w:val="23"/>
          <w:szCs w:val="23"/>
        </w:rPr>
        <w:t>21</w:t>
      </w:r>
      <w:r>
        <w:rPr>
          <w:rFonts w:ascii="Segoe UI" w:hAnsi="Segoe UI" w:cs="Segoe UI"/>
          <w:color w:val="0F1419"/>
          <w:sz w:val="23"/>
          <w:szCs w:val="23"/>
        </w:rPr>
        <w:t>日和</w:t>
      </w:r>
      <w:r>
        <w:rPr>
          <w:rFonts w:ascii="Segoe UI" w:hAnsi="Segoe UI" w:cs="Segoe UI"/>
          <w:color w:val="0F1419"/>
          <w:sz w:val="23"/>
          <w:szCs w:val="23"/>
        </w:rPr>
        <w:t>50</w:t>
      </w:r>
      <w:r>
        <w:rPr>
          <w:rFonts w:ascii="Segoe UI" w:hAnsi="Segoe UI" w:cs="Segoe UI"/>
          <w:color w:val="0F1419"/>
          <w:sz w:val="23"/>
          <w:szCs w:val="23"/>
        </w:rPr>
        <w:t>日</w:t>
      </w:r>
      <w:r>
        <w:rPr>
          <w:rFonts w:ascii="Segoe UI" w:hAnsi="Segoe UI" w:cs="Segoe UI"/>
          <w:color w:val="0F1419"/>
          <w:sz w:val="23"/>
          <w:szCs w:val="23"/>
        </w:rPr>
        <w:t>EMA</w:t>
      </w:r>
      <w:r>
        <w:rPr>
          <w:rFonts w:ascii="Segoe UI" w:hAnsi="Segoe UI" w:cs="Segoe UI"/>
          <w:color w:val="0F1419"/>
          <w:sz w:val="23"/>
          <w:szCs w:val="23"/>
        </w:rPr>
        <w:t>，再标出前期高低点，未补的跳空缺口，以及</w:t>
      </w:r>
      <w:r>
        <w:rPr>
          <w:rFonts w:ascii="Segoe UI" w:hAnsi="Segoe UI" w:cs="Segoe UI"/>
          <w:color w:val="0F1419"/>
          <w:sz w:val="23"/>
          <w:szCs w:val="23"/>
        </w:rPr>
        <w:t>AVWAP</w:t>
      </w:r>
      <w:r>
        <w:rPr>
          <w:rFonts w:ascii="Segoe UI" w:hAnsi="Segoe UI" w:cs="Segoe UI"/>
          <w:color w:val="0F1419"/>
          <w:sz w:val="23"/>
          <w:szCs w:val="23"/>
        </w:rPr>
        <w:t>。</w:t>
      </w:r>
      <w:r>
        <w:rPr>
          <w:rFonts w:ascii="Segoe UI" w:hAnsi="Segoe UI" w:cs="Segoe UI"/>
          <w:color w:val="0F1419"/>
          <w:sz w:val="23"/>
          <w:szCs w:val="23"/>
        </w:rPr>
        <w:t xml:space="preserve"> AVWAP</w:t>
      </w:r>
      <w:r>
        <w:rPr>
          <w:rFonts w:ascii="Segoe UI" w:hAnsi="Segoe UI" w:cs="Segoe UI"/>
          <w:color w:val="0F1419"/>
          <w:sz w:val="23"/>
          <w:szCs w:val="23"/>
        </w:rPr>
        <w:t>是从指定时点开始计算的成交量加权均价。</w:t>
      </w:r>
      <w:r>
        <w:rPr>
          <w:rFonts w:ascii="Segoe UI" w:hAnsi="Segoe UI" w:cs="Segoe UI"/>
          <w:color w:val="0F1419"/>
          <w:sz w:val="23"/>
          <w:szCs w:val="23"/>
        </w:rPr>
        <w:t>Martin</w:t>
      </w:r>
      <w:r>
        <w:rPr>
          <w:rFonts w:ascii="Segoe UI" w:hAnsi="Segoe UI" w:cs="Segoe UI"/>
          <w:color w:val="0F1419"/>
          <w:sz w:val="23"/>
          <w:szCs w:val="23"/>
        </w:rPr>
        <w:t>经常把起点放在整理区的阶段高点，观察价格重新站上线后，回落时能否在附近获得支撑。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如果</w:t>
      </w:r>
      <w:r>
        <w:rPr>
          <w:rFonts w:ascii="Segoe UI" w:hAnsi="Segoe UI" w:cs="Segoe UI"/>
          <w:color w:val="0F1419"/>
          <w:sz w:val="23"/>
          <w:szCs w:val="23"/>
        </w:rPr>
        <w:t>AVWAP</w:t>
      </w:r>
      <w:r>
        <w:rPr>
          <w:rFonts w:ascii="Segoe UI" w:hAnsi="Segoe UI" w:cs="Segoe UI"/>
          <w:color w:val="0F1419"/>
          <w:sz w:val="23"/>
          <w:szCs w:val="23"/>
        </w:rPr>
        <w:t>，</w:t>
      </w:r>
      <w:r>
        <w:rPr>
          <w:rFonts w:ascii="Segoe UI" w:hAnsi="Segoe UI" w:cs="Segoe UI"/>
          <w:color w:val="0F1419"/>
          <w:sz w:val="23"/>
          <w:szCs w:val="23"/>
        </w:rPr>
        <w:t>21</w:t>
      </w:r>
      <w:r>
        <w:rPr>
          <w:rFonts w:ascii="Segoe UI" w:hAnsi="Segoe UI" w:cs="Segoe UI"/>
          <w:color w:val="0F1419"/>
          <w:sz w:val="23"/>
          <w:szCs w:val="23"/>
        </w:rPr>
        <w:t>日</w:t>
      </w:r>
      <w:r>
        <w:rPr>
          <w:rFonts w:ascii="Segoe UI" w:hAnsi="Segoe UI" w:cs="Segoe UI"/>
          <w:color w:val="0F1419"/>
          <w:sz w:val="23"/>
          <w:szCs w:val="23"/>
        </w:rPr>
        <w:t>EMA</w:t>
      </w:r>
      <w:r>
        <w:rPr>
          <w:rFonts w:ascii="Segoe UI" w:hAnsi="Segoe UI" w:cs="Segoe UI"/>
          <w:color w:val="0F1419"/>
          <w:sz w:val="23"/>
          <w:szCs w:val="23"/>
        </w:rPr>
        <w:t>和前期高点落在相近位置，这个区域就值得重点盯住。他尤其关注价格站上重要位置后的第一次回测。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股价接近支撑时，切到</w:t>
      </w:r>
      <w:r>
        <w:rPr>
          <w:rFonts w:ascii="Segoe UI" w:hAnsi="Segoe UI" w:cs="Segoe UI"/>
          <w:color w:val="0F1419"/>
          <w:sz w:val="23"/>
          <w:szCs w:val="23"/>
        </w:rPr>
        <w:t>1</w:t>
      </w:r>
      <w:r>
        <w:rPr>
          <w:rFonts w:ascii="Segoe UI" w:hAnsi="Segoe UI" w:cs="Segoe UI"/>
          <w:color w:val="0F1419"/>
          <w:sz w:val="23"/>
          <w:szCs w:val="23"/>
        </w:rPr>
        <w:t>分钟，</w:t>
      </w:r>
      <w:r>
        <w:rPr>
          <w:rFonts w:ascii="Segoe UI" w:hAnsi="Segoe UI" w:cs="Segoe UI"/>
          <w:color w:val="0F1419"/>
          <w:sz w:val="23"/>
          <w:szCs w:val="23"/>
        </w:rPr>
        <w:t>5</w:t>
      </w:r>
      <w:r>
        <w:rPr>
          <w:rFonts w:ascii="Segoe UI" w:hAnsi="Segoe UI" w:cs="Segoe UI"/>
          <w:color w:val="0F1419"/>
          <w:sz w:val="23"/>
          <w:szCs w:val="23"/>
        </w:rPr>
        <w:t>分钟或</w:t>
      </w:r>
      <w:r>
        <w:rPr>
          <w:rFonts w:ascii="Segoe UI" w:hAnsi="Segoe UI" w:cs="Segoe UI"/>
          <w:color w:val="0F1419"/>
          <w:sz w:val="23"/>
          <w:szCs w:val="23"/>
        </w:rPr>
        <w:t>15</w:t>
      </w:r>
      <w:r>
        <w:rPr>
          <w:rFonts w:ascii="Segoe UI" w:hAnsi="Segoe UI" w:cs="Segoe UI"/>
          <w:color w:val="0F1419"/>
          <w:sz w:val="23"/>
          <w:szCs w:val="23"/>
        </w:rPr>
        <w:t>分钟图。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先观察下探后的回升，再等价格向上突破前一根</w:t>
      </w:r>
      <w:r>
        <w:rPr>
          <w:rFonts w:ascii="Segoe UI" w:hAnsi="Segoe UI" w:cs="Segoe UI"/>
          <w:color w:val="0F1419"/>
          <w:sz w:val="23"/>
          <w:szCs w:val="23"/>
        </w:rPr>
        <w:t>K</w:t>
      </w:r>
      <w:r>
        <w:rPr>
          <w:rFonts w:ascii="Segoe UI" w:hAnsi="Segoe UI" w:cs="Segoe UI"/>
          <w:color w:val="0F1419"/>
          <w:sz w:val="23"/>
          <w:szCs w:val="23"/>
        </w:rPr>
        <w:t>线的高点，寻找入场机会。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例如，股价下探后开始回升，前一根</w:t>
      </w:r>
      <w:r>
        <w:rPr>
          <w:rFonts w:ascii="Segoe UI" w:hAnsi="Segoe UI" w:cs="Segoe UI"/>
          <w:color w:val="0F1419"/>
          <w:sz w:val="23"/>
          <w:szCs w:val="23"/>
        </w:rPr>
        <w:t>5</w:t>
      </w:r>
      <w:r>
        <w:rPr>
          <w:rFonts w:ascii="Segoe UI" w:hAnsi="Segoe UI" w:cs="Segoe UI"/>
          <w:color w:val="0F1419"/>
          <w:sz w:val="23"/>
          <w:szCs w:val="23"/>
        </w:rPr>
        <w:t>分钟</w:t>
      </w:r>
      <w:r>
        <w:rPr>
          <w:rFonts w:ascii="Segoe UI" w:hAnsi="Segoe UI" w:cs="Segoe UI"/>
          <w:color w:val="0F1419"/>
          <w:sz w:val="23"/>
          <w:szCs w:val="23"/>
        </w:rPr>
        <w:t>K</w:t>
      </w:r>
      <w:r>
        <w:rPr>
          <w:rFonts w:ascii="Segoe UI" w:hAnsi="Segoe UI" w:cs="Segoe UI"/>
          <w:color w:val="0F1419"/>
          <w:sz w:val="23"/>
          <w:szCs w:val="23"/>
        </w:rPr>
        <w:t>线的最高价是</w:t>
      </w:r>
      <w:r>
        <w:rPr>
          <w:rFonts w:ascii="Segoe UI" w:hAnsi="Segoe UI" w:cs="Segoe UI"/>
          <w:color w:val="0F1419"/>
          <w:sz w:val="23"/>
          <w:szCs w:val="23"/>
        </w:rPr>
        <w:t>20</w:t>
      </w:r>
      <w:r>
        <w:rPr>
          <w:rFonts w:ascii="Segoe UI" w:hAnsi="Segoe UI" w:cs="Segoe UI"/>
          <w:color w:val="0F1419"/>
          <w:sz w:val="23"/>
          <w:szCs w:val="23"/>
        </w:rPr>
        <w:t>美元，接下来突破</w:t>
      </w:r>
      <w:r>
        <w:rPr>
          <w:rFonts w:ascii="Segoe UI" w:hAnsi="Segoe UI" w:cs="Segoe UI"/>
          <w:color w:val="0F1419"/>
          <w:sz w:val="23"/>
          <w:szCs w:val="23"/>
        </w:rPr>
        <w:t>20</w:t>
      </w:r>
      <w:r>
        <w:rPr>
          <w:rFonts w:ascii="Segoe UI" w:hAnsi="Segoe UI" w:cs="Segoe UI"/>
          <w:color w:val="0F1419"/>
          <w:sz w:val="23"/>
          <w:szCs w:val="23"/>
        </w:rPr>
        <w:t>美元，就是一个可以观察的触发信号。只有日线位置也符合前面的条件，这个分钟图信号才有交易背景。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价格一路跌穿支撑，没有回升时，继续等待。</w:t>
      </w:r>
    </w:p>
    <w:p w14:paraId="087CDD67" w14:textId="54382459" w:rsidR="002A2F5D" w:rsidRDefault="002A2F5D">
      <w:pPr>
        <w:rPr>
          <w:rFonts w:hint="eastAsia"/>
        </w:rPr>
      </w:pPr>
      <w:r>
        <w:lastRenderedPageBreak/>
        <w:fldChar w:fldCharType="begin"/>
      </w:r>
      <w:r>
        <w:instrText xml:space="preserve"> INCLUDEPICTURE "https://pbs.twimg.com/media/HUZZMGcaIAA08Bc?format=jpg&amp;name=large"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BDE6214" wp14:editId="768EB5D6">
            <wp:extent cx="5274310" cy="2964180"/>
            <wp:effectExtent l="0" t="0" r="0" b="0"/>
            <wp:docPr id="1342871480" name="图片 3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E7D56E1" w14:textId="77777777" w:rsidR="002A2F5D" w:rsidRDefault="002A2F5D"/>
    <w:p w14:paraId="023EBA35" w14:textId="41F14DD8" w:rsidR="002A2F5D" w:rsidRDefault="002A2F5D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>第三步：先定止损和仓位，再下单执行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止损可以参考当天低点，也可以参考突破</w:t>
      </w:r>
      <w:r>
        <w:rPr>
          <w:rFonts w:ascii="Segoe UI" w:hAnsi="Segoe UI" w:cs="Segoe UI"/>
          <w:color w:val="0F1419"/>
          <w:sz w:val="23"/>
          <w:szCs w:val="23"/>
        </w:rPr>
        <w:t>K</w:t>
      </w:r>
      <w:r>
        <w:rPr>
          <w:rFonts w:ascii="Segoe UI" w:hAnsi="Segoe UI" w:cs="Segoe UI"/>
          <w:color w:val="0F1419"/>
          <w:sz w:val="23"/>
          <w:szCs w:val="23"/>
        </w:rPr>
        <w:t>线或前一根</w:t>
      </w:r>
      <w:r>
        <w:rPr>
          <w:rFonts w:ascii="Segoe UI" w:hAnsi="Segoe UI" w:cs="Segoe UI"/>
          <w:color w:val="0F1419"/>
          <w:sz w:val="23"/>
          <w:szCs w:val="23"/>
        </w:rPr>
        <w:t>K</w:t>
      </w:r>
      <w:r>
        <w:rPr>
          <w:rFonts w:ascii="Segoe UI" w:hAnsi="Segoe UI" w:cs="Segoe UI"/>
          <w:color w:val="0F1419"/>
          <w:sz w:val="23"/>
          <w:szCs w:val="23"/>
        </w:rPr>
        <w:t>线的低点。</w:t>
      </w:r>
      <w:r>
        <w:rPr>
          <w:rFonts w:ascii="Segoe UI" w:hAnsi="Segoe UI" w:cs="Segoe UI"/>
          <w:color w:val="0F1419"/>
          <w:sz w:val="23"/>
          <w:szCs w:val="23"/>
        </w:rPr>
        <w:t xml:space="preserve"> Martin</w:t>
      </w:r>
      <w:r>
        <w:rPr>
          <w:rFonts w:ascii="Segoe UI" w:hAnsi="Segoe UI" w:cs="Segoe UI"/>
          <w:color w:val="0F1419"/>
          <w:sz w:val="23"/>
          <w:szCs w:val="23"/>
        </w:rPr>
        <w:t>希望多数交易的止损距离在</w:t>
      </w:r>
      <w:r>
        <w:rPr>
          <w:rFonts w:ascii="Segoe UI" w:hAnsi="Segoe UI" w:cs="Segoe UI"/>
          <w:color w:val="0F1419"/>
          <w:sz w:val="23"/>
          <w:szCs w:val="23"/>
        </w:rPr>
        <w:t>2.5%</w:t>
      </w:r>
      <w:r>
        <w:rPr>
          <w:rFonts w:ascii="Segoe UI" w:hAnsi="Segoe UI" w:cs="Segoe UI"/>
          <w:color w:val="0F1419"/>
          <w:sz w:val="23"/>
          <w:szCs w:val="23"/>
        </w:rPr>
        <w:t>至</w:t>
      </w:r>
      <w:r>
        <w:rPr>
          <w:rFonts w:ascii="Segoe UI" w:hAnsi="Segoe UI" w:cs="Segoe UI"/>
          <w:color w:val="0F1419"/>
          <w:sz w:val="23"/>
          <w:szCs w:val="23"/>
        </w:rPr>
        <w:t>3%</w:t>
      </w:r>
      <w:r>
        <w:rPr>
          <w:rFonts w:ascii="Segoe UI" w:hAnsi="Segoe UI" w:cs="Segoe UI"/>
          <w:color w:val="0F1419"/>
          <w:sz w:val="23"/>
          <w:szCs w:val="23"/>
        </w:rPr>
        <w:t>以内，单笔计划账户风险通常约</w:t>
      </w:r>
      <w:r>
        <w:rPr>
          <w:rFonts w:ascii="Segoe UI" w:hAnsi="Segoe UI" w:cs="Segoe UI"/>
          <w:color w:val="0F1419"/>
          <w:sz w:val="23"/>
          <w:szCs w:val="23"/>
        </w:rPr>
        <w:t>0.5%</w:t>
      </w:r>
      <w:r>
        <w:rPr>
          <w:rFonts w:ascii="Segoe UI" w:hAnsi="Segoe UI" w:cs="Segoe UI"/>
          <w:color w:val="0F1419"/>
          <w:sz w:val="23"/>
          <w:szCs w:val="23"/>
        </w:rPr>
        <w:t>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用一个假设把计算串起来：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准备</w:t>
      </w:r>
      <w:r>
        <w:rPr>
          <w:rFonts w:ascii="Segoe UI" w:hAnsi="Segoe UI" w:cs="Segoe UI"/>
          <w:color w:val="0F1419"/>
          <w:sz w:val="23"/>
          <w:szCs w:val="23"/>
        </w:rPr>
        <w:t>20</w:t>
      </w:r>
      <w:r>
        <w:rPr>
          <w:rFonts w:ascii="Segoe UI" w:hAnsi="Segoe UI" w:cs="Segoe UI"/>
          <w:color w:val="0F1419"/>
          <w:sz w:val="23"/>
          <w:szCs w:val="23"/>
        </w:rPr>
        <w:t>美元买入，止损设在</w:t>
      </w:r>
      <w:r>
        <w:rPr>
          <w:rFonts w:ascii="Segoe UI" w:hAnsi="Segoe UI" w:cs="Segoe UI"/>
          <w:color w:val="0F1419"/>
          <w:sz w:val="23"/>
          <w:szCs w:val="23"/>
        </w:rPr>
        <w:t>19.50</w:t>
      </w:r>
      <w:r>
        <w:rPr>
          <w:rFonts w:ascii="Segoe UI" w:hAnsi="Segoe UI" w:cs="Segoe UI"/>
          <w:color w:val="0F1419"/>
          <w:sz w:val="23"/>
          <w:szCs w:val="23"/>
        </w:rPr>
        <w:t>美元，每股承担</w:t>
      </w:r>
      <w:r>
        <w:rPr>
          <w:rFonts w:ascii="Segoe UI" w:hAnsi="Segoe UI" w:cs="Segoe UI"/>
          <w:color w:val="0F1419"/>
          <w:sz w:val="23"/>
          <w:szCs w:val="23"/>
        </w:rPr>
        <w:t>0.50</w:t>
      </w:r>
      <w:r>
        <w:rPr>
          <w:rFonts w:ascii="Segoe UI" w:hAnsi="Segoe UI" w:cs="Segoe UI"/>
          <w:color w:val="0F1419"/>
          <w:sz w:val="23"/>
          <w:szCs w:val="23"/>
        </w:rPr>
        <w:t>美元风险。账户有</w:t>
      </w:r>
      <w:r>
        <w:rPr>
          <w:rFonts w:ascii="Segoe UI" w:hAnsi="Segoe UI" w:cs="Segoe UI"/>
          <w:color w:val="0F1419"/>
          <w:sz w:val="23"/>
          <w:szCs w:val="23"/>
        </w:rPr>
        <w:t>1</w:t>
      </w:r>
      <w:r>
        <w:rPr>
          <w:rFonts w:ascii="Segoe UI" w:hAnsi="Segoe UI" w:cs="Segoe UI"/>
          <w:color w:val="0F1419"/>
          <w:sz w:val="23"/>
          <w:szCs w:val="23"/>
        </w:rPr>
        <w:t>万美元，计划最多亏</w:t>
      </w:r>
      <w:r>
        <w:rPr>
          <w:rFonts w:ascii="Segoe UI" w:hAnsi="Segoe UI" w:cs="Segoe UI"/>
          <w:color w:val="0F1419"/>
          <w:sz w:val="23"/>
          <w:szCs w:val="23"/>
        </w:rPr>
        <w:t>50</w:t>
      </w:r>
      <w:r>
        <w:rPr>
          <w:rFonts w:ascii="Segoe UI" w:hAnsi="Segoe UI" w:cs="Segoe UI"/>
          <w:color w:val="0F1419"/>
          <w:sz w:val="23"/>
          <w:szCs w:val="23"/>
        </w:rPr>
        <w:t>美元，就可以买</w:t>
      </w:r>
      <w:r>
        <w:rPr>
          <w:rFonts w:ascii="Segoe UI" w:hAnsi="Segoe UI" w:cs="Segoe UI"/>
          <w:color w:val="0F1419"/>
          <w:sz w:val="23"/>
          <w:szCs w:val="23"/>
        </w:rPr>
        <w:t>100</w:t>
      </w:r>
      <w:r>
        <w:rPr>
          <w:rFonts w:ascii="Segoe UI" w:hAnsi="Segoe UI" w:cs="Segoe UI"/>
          <w:color w:val="0F1419"/>
          <w:sz w:val="23"/>
          <w:szCs w:val="23"/>
        </w:rPr>
        <w:t>股，投入</w:t>
      </w:r>
      <w:r>
        <w:rPr>
          <w:rFonts w:ascii="Segoe UI" w:hAnsi="Segoe UI" w:cs="Segoe UI"/>
          <w:color w:val="0F1419"/>
          <w:sz w:val="23"/>
          <w:szCs w:val="23"/>
        </w:rPr>
        <w:t>2000</w:t>
      </w:r>
      <w:r>
        <w:rPr>
          <w:rFonts w:ascii="Segoe UI" w:hAnsi="Segoe UI" w:cs="Segoe UI"/>
          <w:color w:val="0F1419"/>
          <w:sz w:val="23"/>
          <w:szCs w:val="23"/>
        </w:rPr>
        <w:t>美元，占账户</w:t>
      </w:r>
      <w:r>
        <w:rPr>
          <w:rFonts w:ascii="Segoe UI" w:hAnsi="Segoe UI" w:cs="Segoe UI"/>
          <w:color w:val="0F1419"/>
          <w:sz w:val="23"/>
          <w:szCs w:val="23"/>
        </w:rPr>
        <w:t>20%</w:t>
      </w:r>
      <w:r>
        <w:rPr>
          <w:rFonts w:ascii="Segoe UI" w:hAnsi="Segoe UI" w:cs="Segoe UI"/>
          <w:color w:val="0F1419"/>
          <w:sz w:val="23"/>
          <w:szCs w:val="23"/>
        </w:rPr>
        <w:t>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计算顺序是：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先定买点和止损点，再用允许亏损的金额除以每股风险，得出股数。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计划明确后，等买入信号触发再下单，入场后立即放好止损单。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假设中的止损位是</w:t>
      </w:r>
      <w:r>
        <w:rPr>
          <w:rFonts w:ascii="Segoe UI" w:hAnsi="Segoe UI" w:cs="Segoe UI"/>
          <w:color w:val="0F1419"/>
          <w:sz w:val="23"/>
          <w:szCs w:val="23"/>
        </w:rPr>
        <w:t>19.50</w:t>
      </w:r>
      <w:r>
        <w:rPr>
          <w:rFonts w:ascii="Segoe UI" w:hAnsi="Segoe UI" w:cs="Segoe UI"/>
          <w:color w:val="0F1419"/>
          <w:sz w:val="23"/>
          <w:szCs w:val="23"/>
        </w:rPr>
        <w:t>美元，价格跌到这里就按计划退出。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遇到跳空或滑点，实际成交价可能更低，亏损也可能超过预设的</w:t>
      </w:r>
      <w:r>
        <w:rPr>
          <w:rFonts w:ascii="Segoe UI" w:hAnsi="Segoe UI" w:cs="Segoe UI"/>
          <w:color w:val="0F1419"/>
          <w:sz w:val="23"/>
          <w:szCs w:val="23"/>
        </w:rPr>
        <w:t>50</w:t>
      </w:r>
      <w:r>
        <w:rPr>
          <w:rFonts w:ascii="Segoe UI" w:hAnsi="Segoe UI" w:cs="Segoe UI"/>
          <w:color w:val="0F1419"/>
          <w:sz w:val="23"/>
          <w:szCs w:val="23"/>
        </w:rPr>
        <w:t>美元。</w:t>
      </w:r>
    </w:p>
    <w:p w14:paraId="637BFBAE" w14:textId="7A5FE396" w:rsidR="002A2F5D" w:rsidRDefault="002A2F5D">
      <w:r>
        <w:lastRenderedPageBreak/>
        <w:fldChar w:fldCharType="begin"/>
      </w:r>
      <w:r>
        <w:instrText xml:space="preserve"> INCLUDEPICTURE "https://pbs.twimg.com/media/HUZZXTxbMAEksmh?format=jpg&amp;name=medium"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64F911D" wp14:editId="4F11D687">
            <wp:extent cx="5274310" cy="2966720"/>
            <wp:effectExtent l="0" t="0" r="0" b="5080"/>
            <wp:docPr id="17244627" name="图片 4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9B63802" w14:textId="77777777" w:rsidR="002A2F5D" w:rsidRDefault="002A2F5D"/>
    <w:p w14:paraId="480A6C62" w14:textId="7F3CEFA1" w:rsidR="002A2F5D" w:rsidRDefault="002A2F5D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>第四步：上涨后分批兑现，再跟踪剩余仓位</w:t>
      </w:r>
      <w:r>
        <w:rPr>
          <w:rFonts w:ascii="Segoe UI" w:hAnsi="Segoe UI" w:cs="Segoe UI"/>
          <w:color w:val="0F1419"/>
          <w:sz w:val="23"/>
          <w:szCs w:val="23"/>
        </w:rPr>
        <w:t xml:space="preserve"> Martin</w:t>
      </w:r>
      <w:r>
        <w:rPr>
          <w:rFonts w:ascii="Segoe UI" w:hAnsi="Segoe UI" w:cs="Segoe UI"/>
          <w:color w:val="0F1419"/>
          <w:sz w:val="23"/>
          <w:szCs w:val="23"/>
        </w:rPr>
        <w:t>常在上涨达到</w:t>
      </w:r>
      <w:r>
        <w:rPr>
          <w:rFonts w:ascii="Segoe UI" w:hAnsi="Segoe UI" w:cs="Segoe UI"/>
          <w:color w:val="0F1419"/>
          <w:sz w:val="23"/>
          <w:szCs w:val="23"/>
        </w:rPr>
        <w:t>3R</w:t>
      </w:r>
      <w:r>
        <w:rPr>
          <w:rFonts w:ascii="Segoe UI" w:hAnsi="Segoe UI" w:cs="Segoe UI"/>
          <w:color w:val="0F1419"/>
          <w:sz w:val="23"/>
          <w:szCs w:val="23"/>
        </w:rPr>
        <w:t>或</w:t>
      </w:r>
      <w:r>
        <w:rPr>
          <w:rFonts w:ascii="Segoe UI" w:hAnsi="Segoe UI" w:cs="Segoe UI"/>
          <w:color w:val="0F1419"/>
          <w:sz w:val="23"/>
          <w:szCs w:val="23"/>
        </w:rPr>
        <w:t>5R</w:t>
      </w:r>
      <w:r>
        <w:rPr>
          <w:rFonts w:ascii="Segoe UI" w:hAnsi="Segoe UI" w:cs="Segoe UI"/>
          <w:color w:val="0F1419"/>
          <w:sz w:val="23"/>
          <w:szCs w:val="23"/>
        </w:rPr>
        <w:t>附近卖掉一部分。</w:t>
      </w:r>
      <w:r>
        <w:rPr>
          <w:rFonts w:ascii="Segoe UI" w:hAnsi="Segoe UI" w:cs="Segoe UI"/>
          <w:color w:val="0F1419"/>
          <w:sz w:val="23"/>
          <w:szCs w:val="23"/>
        </w:rPr>
        <w:t xml:space="preserve"> R</w:t>
      </w:r>
      <w:r>
        <w:rPr>
          <w:rFonts w:ascii="Segoe UI" w:hAnsi="Segoe UI" w:cs="Segoe UI"/>
          <w:color w:val="0F1419"/>
          <w:sz w:val="23"/>
          <w:szCs w:val="23"/>
        </w:rPr>
        <w:t>是最初设定的风险：假设</w:t>
      </w:r>
      <w:r>
        <w:rPr>
          <w:rFonts w:ascii="Segoe UI" w:hAnsi="Segoe UI" w:cs="Segoe UI"/>
          <w:color w:val="0F1419"/>
          <w:sz w:val="23"/>
          <w:szCs w:val="23"/>
        </w:rPr>
        <w:t>20</w:t>
      </w:r>
      <w:r>
        <w:rPr>
          <w:rFonts w:ascii="Segoe UI" w:hAnsi="Segoe UI" w:cs="Segoe UI"/>
          <w:color w:val="0F1419"/>
          <w:sz w:val="23"/>
          <w:szCs w:val="23"/>
        </w:rPr>
        <w:t>美元买入，</w:t>
      </w:r>
      <w:r>
        <w:rPr>
          <w:rFonts w:ascii="Segoe UI" w:hAnsi="Segoe UI" w:cs="Segoe UI"/>
          <w:color w:val="0F1419"/>
          <w:sz w:val="23"/>
          <w:szCs w:val="23"/>
        </w:rPr>
        <w:t>19.50</w:t>
      </w:r>
      <w:r>
        <w:rPr>
          <w:rFonts w:ascii="Segoe UI" w:hAnsi="Segoe UI" w:cs="Segoe UI"/>
          <w:color w:val="0F1419"/>
          <w:sz w:val="23"/>
          <w:szCs w:val="23"/>
        </w:rPr>
        <w:t>美元止损，每股</w:t>
      </w:r>
      <w:r>
        <w:rPr>
          <w:rFonts w:ascii="Segoe UI" w:hAnsi="Segoe UI" w:cs="Segoe UI"/>
          <w:color w:val="0F1419"/>
          <w:sz w:val="23"/>
          <w:szCs w:val="23"/>
        </w:rPr>
        <w:t>1R</w:t>
      </w:r>
      <w:r>
        <w:rPr>
          <w:rFonts w:ascii="Segoe UI" w:hAnsi="Segoe UI" w:cs="Segoe UI"/>
          <w:color w:val="0F1419"/>
          <w:sz w:val="23"/>
          <w:szCs w:val="23"/>
        </w:rPr>
        <w:t>就是</w:t>
      </w:r>
      <w:r>
        <w:rPr>
          <w:rFonts w:ascii="Segoe UI" w:hAnsi="Segoe UI" w:cs="Segoe UI"/>
          <w:color w:val="0F1419"/>
          <w:sz w:val="23"/>
          <w:szCs w:val="23"/>
        </w:rPr>
        <w:t>0.50</w:t>
      </w:r>
      <w:r>
        <w:rPr>
          <w:rFonts w:ascii="Segoe UI" w:hAnsi="Segoe UI" w:cs="Segoe UI"/>
          <w:color w:val="0F1419"/>
          <w:sz w:val="23"/>
          <w:szCs w:val="23"/>
        </w:rPr>
        <w:t>美元，涨到</w:t>
      </w:r>
      <w:r>
        <w:rPr>
          <w:rFonts w:ascii="Segoe UI" w:hAnsi="Segoe UI" w:cs="Segoe UI"/>
          <w:color w:val="0F1419"/>
          <w:sz w:val="23"/>
          <w:szCs w:val="23"/>
        </w:rPr>
        <w:t>21.50</w:t>
      </w:r>
      <w:r>
        <w:rPr>
          <w:rFonts w:ascii="Segoe UI" w:hAnsi="Segoe UI" w:cs="Segoe UI"/>
          <w:color w:val="0F1419"/>
          <w:sz w:val="23"/>
          <w:szCs w:val="23"/>
        </w:rPr>
        <w:t>美元是</w:t>
      </w:r>
      <w:r>
        <w:rPr>
          <w:rFonts w:ascii="Segoe UI" w:hAnsi="Segoe UI" w:cs="Segoe UI"/>
          <w:color w:val="0F1419"/>
          <w:sz w:val="23"/>
          <w:szCs w:val="23"/>
        </w:rPr>
        <w:t>3R</w:t>
      </w:r>
      <w:r>
        <w:rPr>
          <w:rFonts w:ascii="Segoe UI" w:hAnsi="Segoe UI" w:cs="Segoe UI"/>
          <w:color w:val="0F1419"/>
          <w:sz w:val="23"/>
          <w:szCs w:val="23"/>
        </w:rPr>
        <w:t>，涨到</w:t>
      </w:r>
      <w:r>
        <w:rPr>
          <w:rFonts w:ascii="Segoe UI" w:hAnsi="Segoe UI" w:cs="Segoe UI"/>
          <w:color w:val="0F1419"/>
          <w:sz w:val="23"/>
          <w:szCs w:val="23"/>
        </w:rPr>
        <w:t>22.50</w:t>
      </w:r>
      <w:r>
        <w:rPr>
          <w:rFonts w:ascii="Segoe UI" w:hAnsi="Segoe UI" w:cs="Segoe UI"/>
          <w:color w:val="0F1419"/>
          <w:sz w:val="23"/>
          <w:szCs w:val="23"/>
        </w:rPr>
        <w:t>美元是</w:t>
      </w:r>
      <w:r>
        <w:rPr>
          <w:rFonts w:ascii="Segoe UI" w:hAnsi="Segoe UI" w:cs="Segoe UI"/>
          <w:color w:val="0F1419"/>
          <w:sz w:val="23"/>
          <w:szCs w:val="23"/>
        </w:rPr>
        <w:t>5R</w:t>
      </w:r>
      <w:r>
        <w:rPr>
          <w:rFonts w:ascii="Segoe UI" w:hAnsi="Segoe UI" w:cs="Segoe UI"/>
          <w:color w:val="0F1419"/>
          <w:sz w:val="23"/>
          <w:szCs w:val="23"/>
        </w:rPr>
        <w:t>，均未计交易成本。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剩余仓位结合</w:t>
      </w:r>
      <w:r>
        <w:rPr>
          <w:rFonts w:ascii="Segoe UI" w:hAnsi="Segoe UI" w:cs="Segoe UI"/>
          <w:color w:val="0F1419"/>
          <w:sz w:val="23"/>
          <w:szCs w:val="23"/>
        </w:rPr>
        <w:t>9</w:t>
      </w:r>
      <w:r>
        <w:rPr>
          <w:rFonts w:ascii="Segoe UI" w:hAnsi="Segoe UI" w:cs="Segoe UI"/>
          <w:color w:val="0F1419"/>
          <w:sz w:val="23"/>
          <w:szCs w:val="23"/>
        </w:rPr>
        <w:t>日</w:t>
      </w:r>
      <w:r>
        <w:rPr>
          <w:rFonts w:ascii="Segoe UI" w:hAnsi="Segoe UI" w:cs="Segoe UI"/>
          <w:color w:val="0F1419"/>
          <w:sz w:val="23"/>
          <w:szCs w:val="23"/>
        </w:rPr>
        <w:t>EMA</w:t>
      </w:r>
      <w:r>
        <w:rPr>
          <w:rFonts w:ascii="Segoe UI" w:hAnsi="Segoe UI" w:cs="Segoe UI"/>
          <w:color w:val="0F1419"/>
          <w:sz w:val="23"/>
          <w:szCs w:val="23"/>
        </w:rPr>
        <w:t>和价格走势继续跟踪。股价短时间内大幅拉升，明显远离均线时，他也会趁上涨减仓；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市场强，其他持仓有利润缓冲时，他可能保留整仓继续持有。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比如交易</w:t>
      </w:r>
      <w:r>
        <w:rPr>
          <w:rFonts w:ascii="Segoe UI" w:hAnsi="Segoe UI" w:cs="Segoe UI"/>
          <w:color w:val="0F1419"/>
          <w:sz w:val="23"/>
          <w:szCs w:val="23"/>
        </w:rPr>
        <w:t>AMPX</w:t>
      </w:r>
      <w:r>
        <w:rPr>
          <w:rFonts w:ascii="Segoe UI" w:hAnsi="Segoe UI" w:cs="Segoe UI"/>
          <w:color w:val="0F1419"/>
          <w:sz w:val="23"/>
          <w:szCs w:val="23"/>
        </w:rPr>
        <w:t>时，</w:t>
      </w:r>
      <w:r>
        <w:rPr>
          <w:rFonts w:ascii="Segoe UI" w:hAnsi="Segoe UI" w:cs="Segoe UI"/>
          <w:color w:val="0F1419"/>
          <w:sz w:val="23"/>
          <w:szCs w:val="23"/>
        </w:rPr>
        <w:t>Martin</w:t>
      </w:r>
      <w:r>
        <w:rPr>
          <w:rFonts w:ascii="Segoe UI" w:hAnsi="Segoe UI" w:cs="Segoe UI"/>
          <w:color w:val="0F1419"/>
          <w:sz w:val="23"/>
          <w:szCs w:val="23"/>
        </w:rPr>
        <w:t>在开盘前已经关注</w:t>
      </w:r>
      <w:r>
        <w:rPr>
          <w:rFonts w:ascii="Segoe UI" w:hAnsi="Segoe UI" w:cs="Segoe UI"/>
          <w:color w:val="0F1419"/>
          <w:sz w:val="23"/>
          <w:szCs w:val="23"/>
        </w:rPr>
        <w:t>7.45</w:t>
      </w:r>
      <w:r>
        <w:rPr>
          <w:rFonts w:ascii="Segoe UI" w:hAnsi="Segoe UI" w:cs="Segoe UI"/>
          <w:color w:val="0F1419"/>
          <w:sz w:val="23"/>
          <w:szCs w:val="23"/>
        </w:rPr>
        <w:t>至</w:t>
      </w:r>
      <w:r>
        <w:rPr>
          <w:rFonts w:ascii="Segoe UI" w:hAnsi="Segoe UI" w:cs="Segoe UI"/>
          <w:color w:val="0F1419"/>
          <w:sz w:val="23"/>
          <w:szCs w:val="23"/>
        </w:rPr>
        <w:t>7.50</w:t>
      </w:r>
      <w:r>
        <w:rPr>
          <w:rFonts w:ascii="Segoe UI" w:hAnsi="Segoe UI" w:cs="Segoe UI"/>
          <w:color w:val="0F1419"/>
          <w:sz w:val="23"/>
          <w:szCs w:val="23"/>
        </w:rPr>
        <w:t>美元附近的支撑区域，均线和</w:t>
      </w:r>
      <w:r>
        <w:rPr>
          <w:rFonts w:ascii="Segoe UI" w:hAnsi="Segoe UI" w:cs="Segoe UI"/>
          <w:color w:val="0F1419"/>
          <w:sz w:val="23"/>
          <w:szCs w:val="23"/>
        </w:rPr>
        <w:t>AVWAP</w:t>
      </w:r>
      <w:r>
        <w:rPr>
          <w:rFonts w:ascii="Segoe UI" w:hAnsi="Segoe UI" w:cs="Segoe UI"/>
          <w:color w:val="0F1419"/>
          <w:sz w:val="23"/>
          <w:szCs w:val="23"/>
        </w:rPr>
        <w:t>也在附近。</w:t>
      </w:r>
      <w:r>
        <w:rPr>
          <w:rFonts w:ascii="Segoe UI" w:hAnsi="Segoe UI" w:cs="Segoe UI"/>
          <w:color w:val="0F1419"/>
          <w:sz w:val="23"/>
          <w:szCs w:val="23"/>
        </w:rPr>
        <w:t xml:space="preserve"> </w:t>
      </w:r>
      <w:r>
        <w:rPr>
          <w:rFonts w:ascii="Segoe UI" w:hAnsi="Segoe UI" w:cs="Segoe UI"/>
          <w:color w:val="0F1419"/>
          <w:sz w:val="23"/>
          <w:szCs w:val="23"/>
        </w:rPr>
        <w:t>当天股价开盘走高后回落，他等到</w:t>
      </w:r>
      <w:r>
        <w:rPr>
          <w:rFonts w:ascii="Segoe UI" w:hAnsi="Segoe UI" w:cs="Segoe UI"/>
          <w:color w:val="0F1419"/>
          <w:sz w:val="23"/>
          <w:szCs w:val="23"/>
        </w:rPr>
        <w:t>1</w:t>
      </w:r>
      <w:r>
        <w:rPr>
          <w:rFonts w:ascii="Segoe UI" w:hAnsi="Segoe UI" w:cs="Segoe UI"/>
          <w:color w:val="0F1419"/>
          <w:sz w:val="23"/>
          <w:szCs w:val="23"/>
        </w:rPr>
        <w:t>分钟</w:t>
      </w:r>
      <w:r>
        <w:rPr>
          <w:rFonts w:ascii="Segoe UI" w:hAnsi="Segoe UI" w:cs="Segoe UI"/>
          <w:color w:val="0F1419"/>
          <w:sz w:val="23"/>
          <w:szCs w:val="23"/>
        </w:rPr>
        <w:t>K</w:t>
      </w:r>
      <w:r>
        <w:rPr>
          <w:rFonts w:ascii="Segoe UI" w:hAnsi="Segoe UI" w:cs="Segoe UI"/>
          <w:color w:val="0F1419"/>
          <w:sz w:val="23"/>
          <w:szCs w:val="23"/>
        </w:rPr>
        <w:t>线向上突破后买入，随后趁上涨卖出获利。</w:t>
      </w:r>
    </w:p>
    <w:p w14:paraId="48E44945" w14:textId="76AD6F2B" w:rsidR="002A2F5D" w:rsidRDefault="002A2F5D">
      <w:pPr>
        <w:rPr>
          <w:rFonts w:hint="eastAsia"/>
        </w:rPr>
      </w:pPr>
      <w:r>
        <w:lastRenderedPageBreak/>
        <w:fldChar w:fldCharType="begin"/>
      </w:r>
      <w:r>
        <w:instrText xml:space="preserve"> INCLUDEPICTURE "https://pbs.twimg.com/media/HUZZnGhbEAAs17z?format=jpg&amp;name=medium"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6842D8C" wp14:editId="2065A667">
            <wp:extent cx="5274310" cy="2966720"/>
            <wp:effectExtent l="0" t="0" r="0" b="5080"/>
            <wp:docPr id="937997760" name="图片 5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图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r>
        <w:rPr>
          <w:color w:val="94A3B8"/>
        </w:rPr>
        <w:t>――――――――――――――――――――――――――――――――――――――――――</w:t>
      </w:r>
    </w:p>
    <w:p>
      <w:r>
        <w:rPr>
          <w:b/>
          <w:color w:val="0284C7"/>
          <w:sz w:val="28"/>
        </w:rPr>
        <w:t>第五部分：海外一手交易复盘补充与实战关键认知细节</w:t>
      </w:r>
    </w:p>
    <w:p>
      <w:r>
        <w:rPr>
          <w:sz w:val="21"/>
        </w:rPr>
        <w:t>根据海外专业交易分析专栏（如 Financial Wisdom TV 等）及 X（原 Twitter, @martinlukkt）对 Martin Luk 比赛期间 700+ 笔实盘交易记录的深度解构，这套夺冠战法之所以能够产生 969.8% 的惊人年化收益，除上述基础四步外，核心依赖以下三个至关重要的底层实战真相：</w:t>
      </w:r>
    </w:p>
    <w:p>
      <w:r>
        <w:rPr>
          <w:b/>
          <w:sz w:val="22"/>
        </w:rPr>
        <w:t>1. 真实胜率不到 45%，靠超高不对称盈亏比（Asymmetric Risk-Reward）取胜</w:t>
        <w:br/>
      </w:r>
      <w:r>
        <w:rPr>
          <w:sz w:val="20"/>
        </w:rPr>
        <w:t>很多交易者误以为夺冠需要 80% 以上的高胜率，但 Martin 的真实交易胜率仅在 35% ~ 45% 左右。他的真正优势在于“极窄止损换取的超高赔率”：</w:t>
        <w:br/>
        <w:t>• 一只涨幅 25% 的股票，如果按常规设置 3% 止损，盈亏比为 8R；但若通过精确微观买点把止损压缩到 1.5%，盈亏比将瞬间放大至 16R！</w:t>
        <w:br/>
        <w:t>• 在单笔风险锁定在账户 0.5% 的前提下，哪怕遭遇 4 笔连续止损（总回撤仅 2.0%），只要抓住一笔 5R ~ 10R 的主升浪，就能带来 2.5% ~ 5% 的净值暴增，不仅瞬间抹平全部试错成本，还能推动账户创出新高。</w:t>
      </w:r>
    </w:p>
    <w:p>
      <w:r>
        <w:rPr>
          <w:b/>
          <w:sz w:val="22"/>
        </w:rPr>
        <w:t>2. 支撑共振买点的精髓是“诱空洗盘与极速收复 (Flush &amp; Reclaim)”</w:t>
        <w:br/>
      </w:r>
      <w:r>
        <w:rPr>
          <w:sz w:val="20"/>
        </w:rPr>
        <w:t>在实际盘面中，股票很少会“温和触碰”均线后直接起飞。高胜率的黄金买点通常伴随流动性洗盘（Flush）：</w:t>
        <w:br/>
        <w:t>• 股价在接近 21 EMA 或 AVWAP 支撑带时，往往会出现一根下影线短暂刺穿支撑带（故意打掉散户设在支撑线附近的紧密止损单）；</w:t>
        <w:br/>
        <w:t>• 随后必须在数根分时 K 线（1m/5m）内极速强力收复（Reclaim）支撑位上方，并向上突破前一根 K 线的高点。这一“刺破-拉回-突破”的完整行为，才是主力资金洗盘完毕、重新掌控盘面的最强入场扳机信号。</w:t>
      </w:r>
    </w:p>
    <w:p>
      <w:r>
        <w:rPr>
          <w:b/>
          <w:sz w:val="22"/>
        </w:rPr>
        <w:t>3. 动态止损跟踪路线图与高资金周转率（Capital Velocity）</w:t>
        <w:br/>
      </w:r>
      <w:r>
        <w:rPr>
          <w:sz w:val="20"/>
        </w:rPr>
        <w:t>为了保护本金并最大化复利周转效率，必须执行三级动态止损与兑现机制：</w:t>
        <w:br/>
        <w:t>• 初始开仓：止损严格锁定在入场价下方 2.5% ~ 3.0%（单笔总风险 0.5%），绝不主观抗单；</w:t>
        <w:br/>
        <w:t>• 触及 1R 盈利（约 +3%）：立即将止损线上移至买入成本价（保本 Breakeven），实现该笔交易“零风险持仓（Free Ride）”，彻底杜绝浮盈变亏损；</w:t>
        <w:br/>
        <w:t>• 触及 3R 目标（约 +7.5%）：严格减仓 1/3 至 1/2 锁定真金白银利润，将剩余仓位止损线上移至 +1R 位置，并腾出可用现金迅速投入下一个已经出现买点的潜力强势股，实现小资金的高频滚动复利。</w:t>
      </w:r>
    </w:p>
    <w:p>
      <w:r>
        <w:t>第六部分：持仓全生命周期六阶离场体系与 9 EMA 均线量化跟踪细节</w:t>
      </w:r>
    </w:p>
    <w:p>
      <w:r>
        <w:rPr>
          <w:sz w:val="21"/>
        </w:rPr>
        <w:t>针对第四步中“结合 9 日 EMA 跟踪”以及“短时间内远离均线主动减仓”，普通交易者容易陷入主观判断。在 Martin Luk 的冠军交易体系中，这套离场逻辑有着极其严苛、机械化的量化执行标准：</w:t>
      </w:r>
    </w:p>
    <w:p>
      <w:r>
        <w:rPr>
          <w:b/>
          <w:sz w:val="22"/>
        </w:rPr>
        <w:t>【阶段一：初始防守】</w:t>
        <w:br/>
      </w:r>
      <w:r>
        <w:rPr>
          <w:sz w:val="20"/>
        </w:rPr>
        <w:t>开仓买入后，止损单严格挂在设定价（入场价下方 2.5% ~ 3.0%），单笔最大总风险锁定在账户总资产的 0.5%，绝不心存侥幸主观抗单。</w:t>
      </w:r>
    </w:p>
    <w:p>
      <w:r>
        <w:rPr>
          <w:b/>
          <w:sz w:val="22"/>
        </w:rPr>
        <w:t>【阶段二：平保保本 (Breakeven)】</w:t>
        <w:br/>
      </w:r>
      <w:r>
        <w:rPr>
          <w:sz w:val="20"/>
        </w:rPr>
        <w:t>当股价浮盈触及 1R（涨幅约 +2.5% ~ +3.0%）时，立即在券商软件中将止损线上移至买入成本价。此举彻底消除了本笔交易的本金风险，实现“零风险免费抽奖（Free Ride）”，杜绝任何赚钱单变成亏钱单。</w:t>
      </w:r>
    </w:p>
    <w:p>
      <w:r>
        <w:rPr>
          <w:b/>
          <w:sz w:val="22"/>
        </w:rPr>
        <w:t>【阶段三：第一期望值兑现 (3R 减半)】</w:t>
        <w:br/>
      </w:r>
      <w:r>
        <w:rPr>
          <w:sz w:val="20"/>
        </w:rPr>
        <w:t>当股价涨幅达到 3R（约 +7.5% ~ +9.0%）时，坚决市价或挂单卖出 1/2 仓位，真金白银锁定利润；同时将剩余半仓的止损线上移至 +1R 位置，并迅速腾出账户现金额度投入下一个符合买点的新标的，提高资金年化周转率。</w:t>
      </w:r>
    </w:p>
    <w:p>
      <w:r>
        <w:t>【阶段四：波段趋势大主升兑现 (5R 二次锁定)】</w:t>
      </w:r>
    </w:p>
    <w:p>
      <w:r>
        <w:t>当股价继续冲刺达到 5R（约 +12.5% ~ +15.0%）时，再次减仓剩余半仓的 1/2，同时将最终底仓的止损线上移至 +3R 位置（无论行情如何剧烈回撤都已锁死至少 3R 大胜局），彻底释放心理压力，让极少数底仓博取 8R ~ 15R 超级大妖股行情。</w:t>
      </w:r>
    </w:p>
    <w:p>
      <w:r>
        <w:t>【阶段五：高潮极度乖离减仓 (Climax / Extreme Extension)】</w:t>
      </w:r>
    </w:p>
    <w:p>
      <w:r>
        <w:t>【阶段六：终极趋势终结清仓 (9 EMA 收盘保护)】</w:t>
      </w:r>
    </w:p>
    <w:sectPr w:rsidR="002A2F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5D"/>
    <w:rsid w:val="000B5CD3"/>
    <w:rsid w:val="002A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03BAF"/>
  <w15:chartTrackingRefBased/>
  <w15:docId w15:val="{1278B4A2-D895-7645-9EDE-9558E0A87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2F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F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F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F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F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F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F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F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F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2F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2F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2F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2F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2F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2F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2F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F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2F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2F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F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F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2F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2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</dc:creator>
  <cp:keywords/>
  <dc:description/>
  <cp:lastModifiedBy>tudo</cp:lastModifiedBy>
  <cp:revision>1</cp:revision>
  <dcterms:created xsi:type="dcterms:W3CDTF">2026-10-13T03:41:00Z</dcterms:created>
  <dcterms:modified xsi:type="dcterms:W3CDTF">2026-10-13T03:44:00Z</dcterms:modified>
</cp:coreProperties>
</file>