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3AA86">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p w14:paraId="38F6B228">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r>
        <w:rPr>
          <w:rFonts w:eastAsia="Times New Roman"/>
          <w:sz w:val="24"/>
          <w:szCs w:val="24"/>
        </w:rPr>
        <w:t>CÔNG TY TNHH SANDEN INTERCOOL VIỆT NAM</w:t>
      </w:r>
    </w:p>
    <w:p w14:paraId="07509361">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r>
        <w:rPr>
          <w:rFonts w:eastAsia="Times New Roman"/>
          <w:b/>
          <w:sz w:val="24"/>
          <w:szCs w:val="24"/>
        </w:rPr>
        <w:t>Văn phòng HCM / HCM Office:</w:t>
      </w:r>
      <w:r>
        <w:rPr>
          <w:rFonts w:eastAsia="Times New Roman"/>
          <w:sz w:val="24"/>
          <w:szCs w:val="24"/>
        </w:rPr>
        <w:t xml:space="preserve"> Tầng 5 - Tòa nhà Nam Việt - Số 261 Hoàng Văn Thụ - Phường Tân Sơn Hòa, Tp.HCM</w:t>
      </w:r>
    </w:p>
    <w:p w14:paraId="5FCF1247">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r>
        <w:rPr>
          <w:rFonts w:eastAsia="Times New Roman"/>
          <w:b/>
          <w:sz w:val="24"/>
          <w:szCs w:val="24"/>
        </w:rPr>
        <w:t>Mã số thuế / Tax code:</w:t>
      </w:r>
      <w:r>
        <w:rPr>
          <w:rFonts w:eastAsia="Times New Roman"/>
          <w:sz w:val="24"/>
          <w:szCs w:val="24"/>
        </w:rPr>
        <w:t xml:space="preserve"> 0313167222</w:t>
      </w:r>
    </w:p>
    <w:p w14:paraId="666DC781">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p w14:paraId="60CD1A5F">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p w14:paraId="74608EC9">
      <w:pPr>
        <w:pBdr>
          <w:top w:val="none" w:color="000000" w:sz="0" w:space="0"/>
          <w:left w:val="none" w:color="000000" w:sz="0" w:space="0"/>
          <w:bottom w:val="none" w:color="000000" w:sz="0" w:space="0"/>
          <w:right w:val="none" w:color="000000" w:sz="0" w:space="0"/>
          <w:between w:val="none" w:color="000000" w:sz="0" w:space="0"/>
        </w:pBdr>
        <w:shd w:val="clear"/>
        <w:jc w:val="center"/>
        <w:rPr>
          <w:rFonts w:hint="default" w:ascii="Times New Roman Bold" w:hAnsi="Times New Roman Bold" w:eastAsia="Times New Roman" w:cs="Times New Roman Bold"/>
          <w:b/>
          <w:bCs/>
          <w:sz w:val="24"/>
          <w:szCs w:val="24"/>
        </w:rPr>
      </w:pPr>
      <w:r>
        <w:rPr>
          <w:rFonts w:hint="default" w:ascii="Times New Roman Bold" w:hAnsi="Times New Roman Bold" w:eastAsia="Times New Roman" w:cs="Times New Roman Bold"/>
          <w:b/>
          <w:bCs/>
          <w:sz w:val="24"/>
          <w:szCs w:val="24"/>
        </w:rPr>
        <w:t>BẢNG BÁO GIÁ</w:t>
      </w:r>
    </w:p>
    <w:p w14:paraId="38B51FC7">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p w14:paraId="7B55334E">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p w14:paraId="13FECB21">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b/>
          <w:bCs/>
          <w:sz w:val="24"/>
          <w:szCs w:val="24"/>
        </w:rPr>
      </w:pPr>
      <w:r>
        <w:rPr>
          <w:rFonts w:eastAsia="Times New Roman"/>
          <w:b/>
          <w:sz w:val="24"/>
          <w:szCs w:val="24"/>
        </w:rPr>
        <w:t xml:space="preserve">Kính gửi: Quý khách hàng </w:t>
      </w:r>
      <w:r>
        <w:rPr>
          <w:rFonts w:eastAsia="Times New Roman"/>
          <w:b/>
          <w:bCs/>
          <w:sz w:val="24"/>
          <w:szCs w:val="24"/>
        </w:rPr>
        <w:t>{{TEN_DOI_TAC}}</w:t>
      </w:r>
    </w:p>
    <w:p w14:paraId="73765663">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r>
        <w:rPr>
          <w:rFonts w:eastAsia="Times New Roman"/>
          <w:sz w:val="24"/>
          <w:szCs w:val="24"/>
        </w:rPr>
        <w:t xml:space="preserve">Lời đầu tiên, Công Ty TNHH Sanden Intercool (Việt Nam) xin gửi đến Quý khách hàng lời chào trân trọng và lời cảm ơn chân thành vì sự quan tâm sản phẩm của chúng tôi. Chúng tôi xin trân trọng báo giá sản phẩm quý khách quan tâm như sau: </w:t>
      </w:r>
    </w:p>
    <w:p w14:paraId="69377E16">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sz w:val="24"/>
          <w:szCs w:val="24"/>
        </w:rPr>
      </w:pPr>
    </w:p>
    <w:tbl>
      <w:tblPr>
        <w:tblStyle w:val="6"/>
        <w:tblW w:w="10097" w:type="dxa"/>
        <w:tblInd w:w="0" w:type="dxa"/>
        <w:tblLayout w:type="fixed"/>
        <w:tblCellMar>
          <w:top w:w="0" w:type="dxa"/>
          <w:left w:w="108" w:type="dxa"/>
          <w:bottom w:w="0" w:type="dxa"/>
          <w:right w:w="108" w:type="dxa"/>
        </w:tblCellMar>
      </w:tblPr>
      <w:tblGrid>
        <w:gridCol w:w="953"/>
        <w:gridCol w:w="2000"/>
        <w:gridCol w:w="700"/>
        <w:gridCol w:w="625"/>
        <w:gridCol w:w="1925"/>
        <w:gridCol w:w="675"/>
        <w:gridCol w:w="1450"/>
        <w:gridCol w:w="1769"/>
      </w:tblGrid>
      <w:tr w14:paraId="62B88787">
        <w:trPr>
          <w:trHeight w:val="894" w:hRule="atLeast"/>
        </w:trPr>
        <w:tc>
          <w:tcPr>
            <w:tcW w:w="953" w:type="dxa"/>
            <w:tcBorders>
              <w:top w:val="single" w:color="000000" w:sz="4" w:space="0"/>
              <w:left w:val="single" w:color="000000" w:sz="4" w:space="0"/>
              <w:bottom w:val="nil"/>
              <w:right w:val="single" w:color="000000" w:sz="4" w:space="0"/>
            </w:tcBorders>
            <w:shd w:val="solid" w:color="E7E6E6" w:fill="auto"/>
            <w:tcMar>
              <w:top w:w="0" w:type="dxa"/>
              <w:left w:w="108" w:type="dxa"/>
              <w:bottom w:w="0" w:type="dxa"/>
              <w:right w:w="108" w:type="dxa"/>
            </w:tcMar>
            <w:vAlign w:val="center"/>
          </w:tcPr>
          <w:p w14:paraId="1C902672">
            <w:pPr>
              <w:spacing w:after="0" w:line="240" w:lineRule="auto"/>
              <w:jc w:val="center"/>
              <w:rPr>
                <w:rFonts w:eastAsia="Times New Roman"/>
                <w:b/>
                <w:bCs/>
                <w:sz w:val="20"/>
                <w:szCs w:val="20"/>
              </w:rPr>
            </w:pPr>
            <w:r>
              <w:rPr>
                <w:rFonts w:eastAsia="Times New Roman"/>
                <w:b/>
                <w:bCs/>
                <w:sz w:val="20"/>
                <w:szCs w:val="20"/>
              </w:rPr>
              <w:t>TT</w:t>
            </w:r>
          </w:p>
        </w:tc>
        <w:tc>
          <w:tcPr>
            <w:tcW w:w="2000"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1AEF0439">
            <w:pPr>
              <w:spacing w:after="0" w:line="240" w:lineRule="auto"/>
              <w:jc w:val="center"/>
              <w:rPr>
                <w:rFonts w:eastAsia="Times New Roman"/>
                <w:b/>
                <w:bCs/>
                <w:sz w:val="20"/>
                <w:szCs w:val="20"/>
              </w:rPr>
            </w:pPr>
            <w:r>
              <w:rPr>
                <w:rFonts w:eastAsia="Times New Roman"/>
                <w:b/>
                <w:bCs/>
                <w:sz w:val="20"/>
                <w:szCs w:val="20"/>
              </w:rPr>
              <w:br w:type="textWrapping"/>
            </w:r>
            <w:r>
              <w:rPr>
                <w:rFonts w:eastAsia="Times New Roman"/>
                <w:b/>
                <w:bCs/>
                <w:sz w:val="20"/>
                <w:szCs w:val="20"/>
              </w:rPr>
              <w:t>Diễn giải công việc</w:t>
            </w:r>
          </w:p>
        </w:tc>
        <w:tc>
          <w:tcPr>
            <w:tcW w:w="700"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4FCB6A4F">
            <w:pPr>
              <w:spacing w:after="0" w:line="240" w:lineRule="auto"/>
              <w:jc w:val="center"/>
              <w:rPr>
                <w:rFonts w:eastAsia="Times New Roman"/>
                <w:b/>
                <w:bCs/>
                <w:sz w:val="20"/>
                <w:szCs w:val="20"/>
              </w:rPr>
            </w:pPr>
            <w:r>
              <w:rPr>
                <w:rFonts w:eastAsia="Times New Roman"/>
                <w:b/>
                <w:bCs/>
                <w:sz w:val="20"/>
                <w:szCs w:val="20"/>
              </w:rPr>
              <w:t>ĐVT</w:t>
            </w:r>
          </w:p>
        </w:tc>
        <w:tc>
          <w:tcPr>
            <w:tcW w:w="625"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446E186A">
            <w:pPr>
              <w:spacing w:after="0" w:line="240" w:lineRule="auto"/>
              <w:jc w:val="center"/>
              <w:rPr>
                <w:rFonts w:hint="default" w:eastAsia="Times New Roman"/>
                <w:b/>
                <w:bCs/>
                <w:sz w:val="20"/>
                <w:szCs w:val="20"/>
                <w:lang w:val="en-US"/>
              </w:rPr>
            </w:pPr>
            <w:r>
              <w:rPr>
                <w:rFonts w:eastAsia="Times New Roman"/>
                <w:b/>
                <w:bCs/>
                <w:sz w:val="20"/>
                <w:szCs w:val="20"/>
              </w:rPr>
              <w:t>Dung tích</w:t>
            </w:r>
            <w:r>
              <w:rPr>
                <w:rFonts w:hint="default" w:eastAsia="Times New Roman"/>
                <w:b/>
                <w:bCs/>
                <w:sz w:val="20"/>
                <w:szCs w:val="20"/>
                <w:lang w:val="en-US"/>
              </w:rPr>
              <w:t xml:space="preserve"> (L)</w:t>
            </w:r>
          </w:p>
        </w:tc>
        <w:tc>
          <w:tcPr>
            <w:tcW w:w="1925"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4549BBDA">
            <w:pPr>
              <w:spacing w:after="0" w:line="240" w:lineRule="auto"/>
              <w:jc w:val="center"/>
              <w:rPr>
                <w:rFonts w:eastAsia="Times New Roman"/>
                <w:b/>
                <w:bCs/>
                <w:sz w:val="20"/>
                <w:szCs w:val="20"/>
              </w:rPr>
            </w:pPr>
            <w:r>
              <w:rPr>
                <w:rFonts w:eastAsia="Times New Roman"/>
                <w:b/>
                <w:bCs/>
                <w:sz w:val="20"/>
                <w:szCs w:val="20"/>
              </w:rPr>
              <w:t>Kích thước</w:t>
            </w:r>
            <w:r>
              <w:rPr>
                <w:rFonts w:eastAsia="Times New Roman"/>
                <w:b/>
                <w:bCs/>
                <w:sz w:val="20"/>
                <w:szCs w:val="20"/>
              </w:rPr>
              <w:br w:type="textWrapping"/>
            </w:r>
            <w:r>
              <w:rPr>
                <w:rFonts w:eastAsia="Times New Roman"/>
                <w:b/>
                <w:bCs/>
                <w:sz w:val="20"/>
                <w:szCs w:val="20"/>
              </w:rPr>
              <w:t>(WxDxH)</w:t>
            </w:r>
          </w:p>
        </w:tc>
        <w:tc>
          <w:tcPr>
            <w:tcW w:w="675"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77D192A6">
            <w:pPr>
              <w:spacing w:after="0" w:line="240" w:lineRule="auto"/>
              <w:jc w:val="center"/>
              <w:rPr>
                <w:rFonts w:hint="default" w:eastAsia="Times New Roman"/>
                <w:b/>
                <w:bCs/>
                <w:sz w:val="20"/>
                <w:szCs w:val="20"/>
                <w:lang w:val="en-US"/>
              </w:rPr>
            </w:pPr>
            <w:r>
              <w:rPr>
                <w:rFonts w:hint="default" w:eastAsia="Times New Roman"/>
                <w:b/>
                <w:bCs/>
                <w:sz w:val="20"/>
                <w:szCs w:val="20"/>
                <w:lang w:val="en-US"/>
              </w:rPr>
              <w:t>SL</w:t>
            </w:r>
          </w:p>
        </w:tc>
        <w:tc>
          <w:tcPr>
            <w:tcW w:w="1450"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20315C2F">
            <w:pPr>
              <w:spacing w:after="0" w:line="240" w:lineRule="auto"/>
              <w:jc w:val="center"/>
              <w:rPr>
                <w:rFonts w:eastAsia="Times New Roman"/>
                <w:b/>
                <w:bCs/>
                <w:sz w:val="20"/>
                <w:szCs w:val="20"/>
              </w:rPr>
            </w:pPr>
            <w:r>
              <w:rPr>
                <w:rFonts w:eastAsia="Times New Roman"/>
                <w:b/>
                <w:bCs/>
                <w:sz w:val="20"/>
                <w:szCs w:val="20"/>
              </w:rPr>
              <w:t>Đơn Giá</w:t>
            </w:r>
          </w:p>
        </w:tc>
        <w:tc>
          <w:tcPr>
            <w:tcW w:w="1769" w:type="dxa"/>
            <w:tcBorders>
              <w:top w:val="single" w:color="000000" w:sz="4" w:space="0"/>
              <w:left w:val="nil"/>
              <w:bottom w:val="nil"/>
              <w:right w:val="single" w:color="000000" w:sz="4" w:space="0"/>
            </w:tcBorders>
            <w:shd w:val="solid" w:color="E7E6E6" w:fill="auto"/>
            <w:tcMar>
              <w:top w:w="0" w:type="dxa"/>
              <w:left w:w="108" w:type="dxa"/>
              <w:bottom w:w="0" w:type="dxa"/>
              <w:right w:w="108" w:type="dxa"/>
            </w:tcMar>
            <w:vAlign w:val="center"/>
          </w:tcPr>
          <w:p w14:paraId="6B63B3C4">
            <w:pPr>
              <w:spacing w:after="0" w:line="240" w:lineRule="auto"/>
              <w:jc w:val="center"/>
              <w:rPr>
                <w:rFonts w:eastAsia="Times New Roman"/>
                <w:b/>
                <w:bCs/>
                <w:sz w:val="20"/>
                <w:szCs w:val="20"/>
              </w:rPr>
            </w:pPr>
            <w:r>
              <w:rPr>
                <w:rFonts w:eastAsia="Times New Roman"/>
                <w:b/>
                <w:bCs/>
                <w:sz w:val="20"/>
                <w:szCs w:val="20"/>
              </w:rPr>
              <w:t>Thành Tiền</w:t>
            </w:r>
          </w:p>
        </w:tc>
      </w:tr>
      <w:tr w14:paraId="7B925B30">
        <w:trPr>
          <w:trHeight w:val="401" w:hRule="atLeast"/>
        </w:trPr>
        <w:tc>
          <w:tcPr>
            <w:tcW w:w="9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2E61106">
            <w:pPr>
              <w:spacing w:after="0" w:line="240" w:lineRule="auto"/>
              <w:jc w:val="center"/>
              <w:rPr>
                <w:rFonts w:eastAsia="Times New Roman"/>
                <w:b/>
                <w:bCs/>
                <w:sz w:val="20"/>
                <w:szCs w:val="20"/>
              </w:rPr>
            </w:pPr>
            <w:r>
              <w:rPr>
                <w:rFonts w:eastAsia="Times New Roman"/>
                <w:b/>
                <w:bCs/>
                <w:sz w:val="20"/>
                <w:szCs w:val="20"/>
              </w:rPr>
              <w:t>I</w:t>
            </w:r>
          </w:p>
        </w:tc>
        <w:tc>
          <w:tcPr>
            <w:tcW w:w="9144" w:type="dxa"/>
            <w:gridSpan w:val="7"/>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7875364D">
            <w:pPr>
              <w:spacing w:after="0" w:line="240" w:lineRule="auto"/>
              <w:rPr>
                <w:rFonts w:eastAsia="Times New Roman"/>
                <w:b/>
                <w:bCs/>
                <w:sz w:val="20"/>
                <w:szCs w:val="20"/>
              </w:rPr>
            </w:pPr>
            <w:r>
              <w:rPr>
                <w:rFonts w:eastAsia="Times New Roman"/>
                <w:b/>
                <w:bCs/>
                <w:sz w:val="20"/>
                <w:szCs w:val="20"/>
              </w:rPr>
              <w:t>Thiết bị lạnh</w:t>
            </w:r>
          </w:p>
        </w:tc>
      </w:tr>
      <w:tr w14:paraId="60249611">
        <w:trPr>
          <w:trHeight w:val="714" w:hRule="atLeast"/>
        </w:trPr>
        <w:tc>
          <w:tcPr>
            <w:tcW w:w="953"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1F793208">
            <w:pPr>
              <w:spacing w:after="0" w:line="240" w:lineRule="auto"/>
              <w:jc w:val="center"/>
              <w:rPr>
                <w:rFonts w:eastAsia="Times New Roman"/>
                <w:sz w:val="20"/>
                <w:szCs w:val="20"/>
              </w:rPr>
            </w:pPr>
            <w:r>
              <w:rPr>
                <w:rFonts w:eastAsia="Times New Roman"/>
                <w:sz w:val="20"/>
                <w:szCs w:val="20"/>
              </w:rPr>
              <w:t>{%tr  for item in items %}{{item.stt}}</w:t>
            </w:r>
          </w:p>
        </w:tc>
        <w:tc>
          <w:tcPr>
            <w:tcW w:w="2000"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1D2FF4AF">
            <w:pPr>
              <w:rPr>
                <w:rFonts w:eastAsia="Times New Roman"/>
                <w:sz w:val="20"/>
                <w:szCs w:val="20"/>
              </w:rPr>
            </w:pPr>
            <w:r>
              <w:rPr>
                <w:rFonts w:eastAsia="Times New Roman"/>
                <w:sz w:val="20"/>
                <w:szCs w:val="20"/>
              </w:rPr>
              <w:t>{{item.san_pham}} - {{item.model}}</w:t>
            </w:r>
          </w:p>
        </w:tc>
        <w:tc>
          <w:tcPr>
            <w:tcW w:w="700"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602A3B53">
            <w:pPr>
              <w:rPr>
                <w:rFonts w:eastAsia="Times New Roman"/>
                <w:sz w:val="20"/>
                <w:szCs w:val="20"/>
              </w:rPr>
            </w:pPr>
            <w:r>
              <w:rPr>
                <w:rFonts w:eastAsia="Times New Roman"/>
                <w:sz w:val="20"/>
                <w:szCs w:val="20"/>
              </w:rPr>
              <w:t>{{item.dvt}}</w:t>
            </w:r>
          </w:p>
        </w:tc>
        <w:tc>
          <w:tcPr>
            <w:tcW w:w="625"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6377BC75">
            <w:pPr>
              <w:rPr>
                <w:rFonts w:eastAsia="Times New Roman"/>
                <w:sz w:val="20"/>
                <w:szCs w:val="20"/>
              </w:rPr>
            </w:pPr>
            <w:r>
              <w:rPr>
                <w:rFonts w:eastAsia="Times New Roman"/>
                <w:sz w:val="20"/>
                <w:szCs w:val="20"/>
              </w:rPr>
              <w:t>{{item.dung_tich}}</w:t>
            </w:r>
          </w:p>
        </w:tc>
        <w:tc>
          <w:tcPr>
            <w:tcW w:w="1925"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5F65153D">
            <w:pPr>
              <w:rPr>
                <w:rFonts w:eastAsia="Times New Roman"/>
                <w:sz w:val="20"/>
                <w:szCs w:val="20"/>
              </w:rPr>
            </w:pPr>
            <w:r>
              <w:rPr>
                <w:rFonts w:eastAsia="Times New Roman"/>
                <w:sz w:val="20"/>
                <w:szCs w:val="20"/>
              </w:rPr>
              <w:t>{{item.kich_thuoc}}</w:t>
            </w:r>
          </w:p>
        </w:tc>
        <w:tc>
          <w:tcPr>
            <w:tcW w:w="675"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09213BD8">
            <w:pPr>
              <w:rPr>
                <w:rFonts w:eastAsia="Times New Roman"/>
                <w:sz w:val="20"/>
                <w:szCs w:val="20"/>
              </w:rPr>
            </w:pPr>
            <w:r>
              <w:rPr>
                <w:rFonts w:eastAsia="Times New Roman"/>
                <w:sz w:val="20"/>
                <w:szCs w:val="20"/>
              </w:rPr>
              <w:t>{{item.so_luong}}</w:t>
            </w:r>
          </w:p>
        </w:tc>
        <w:tc>
          <w:tcPr>
            <w:tcW w:w="1450"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6286B3C0">
            <w:pPr>
              <w:rPr>
                <w:rFonts w:eastAsia="Times New Roman"/>
                <w:sz w:val="20"/>
                <w:szCs w:val="20"/>
              </w:rPr>
            </w:pPr>
            <w:r>
              <w:rPr>
                <w:rFonts w:eastAsia="Times New Roman"/>
                <w:sz w:val="20"/>
                <w:szCs w:val="20"/>
              </w:rPr>
              <w:t>{{item.don_gia_fmt}}</w:t>
            </w:r>
          </w:p>
        </w:tc>
        <w:tc>
          <w:tcPr>
            <w:tcW w:w="1769" w:type="dxa"/>
            <w:tcBorders>
              <w:top w:val="single" w:color="000000" w:sz="4" w:space="0"/>
              <w:left w:val="nil"/>
              <w:bottom w:val="single" w:color="000000" w:sz="4" w:space="0"/>
              <w:right w:val="single" w:color="000000" w:sz="4" w:space="0"/>
            </w:tcBorders>
            <w:shd w:val="clear" w:color="auto" w:fill="auto"/>
            <w:tcMar>
              <w:top w:w="0" w:type="dxa"/>
              <w:left w:w="108" w:type="dxa"/>
              <w:bottom w:w="0" w:type="dxa"/>
              <w:right w:w="108" w:type="dxa"/>
            </w:tcMar>
            <w:vAlign w:val="center"/>
          </w:tcPr>
          <w:p w14:paraId="46E09C7B">
            <w:pPr>
              <w:rPr>
                <w:rFonts w:eastAsia="Times New Roman"/>
                <w:sz w:val="20"/>
                <w:szCs w:val="20"/>
              </w:rPr>
            </w:pPr>
            <w:r>
              <w:rPr>
                <w:rFonts w:eastAsia="Times New Roman"/>
                <w:sz w:val="20"/>
                <w:szCs w:val="20"/>
              </w:rPr>
              <w:t>{{item.thanh_tien}}{%tr endfor %}</w:t>
            </w:r>
          </w:p>
        </w:tc>
      </w:tr>
      <w:tr w14:paraId="30553D9B">
        <w:trPr>
          <w:trHeight w:val="439" w:hRule="atLeast"/>
        </w:trPr>
        <w:tc>
          <w:tcPr>
            <w:tcW w:w="8328" w:type="dxa"/>
            <w:gridSpan w:val="7"/>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1BD5CFF">
            <w:pPr>
              <w:spacing w:after="0" w:line="240" w:lineRule="auto"/>
              <w:jc w:val="center"/>
              <w:rPr>
                <w:rFonts w:eastAsia="Times New Roman"/>
                <w:b/>
                <w:bCs/>
                <w:sz w:val="20"/>
                <w:szCs w:val="20"/>
              </w:rPr>
            </w:pPr>
            <w:r>
              <w:rPr>
                <w:rFonts w:eastAsia="Times New Roman"/>
                <w:b/>
                <w:bCs/>
                <w:sz w:val="20"/>
                <w:szCs w:val="20"/>
              </w:rPr>
              <w:t>TỔNG CỘNG</w:t>
            </w:r>
          </w:p>
        </w:tc>
        <w:tc>
          <w:tcPr>
            <w:tcW w:w="1769" w:type="dxa"/>
            <w:tcBorders>
              <w:top w:val="nil"/>
              <w:left w:val="nil"/>
              <w:bottom w:val="single" w:color="000000" w:sz="4" w:space="0"/>
              <w:right w:val="single" w:color="000000" w:sz="4" w:space="0"/>
            </w:tcBorders>
            <w:shd w:val="solid" w:color="FFFFFF" w:fill="auto"/>
            <w:tcMar>
              <w:top w:w="0" w:type="dxa"/>
              <w:left w:w="108" w:type="dxa"/>
              <w:bottom w:w="0" w:type="dxa"/>
              <w:right w:w="108" w:type="dxa"/>
            </w:tcMar>
            <w:vAlign w:val="center"/>
          </w:tcPr>
          <w:p w14:paraId="14BF00BA">
            <w:pPr>
              <w:rPr>
                <w:rFonts w:eastAsia="Times New Roman"/>
                <w:sz w:val="20"/>
                <w:szCs w:val="20"/>
              </w:rPr>
            </w:pPr>
            <w:r>
              <w:rPr>
                <w:rFonts w:eastAsia="Times New Roman"/>
                <w:sz w:val="20"/>
                <w:szCs w:val="20"/>
              </w:rPr>
              <w:t>{{tong_cong}}</w:t>
            </w:r>
          </w:p>
        </w:tc>
      </w:tr>
    </w:tbl>
    <w:p w14:paraId="3D67E5A0">
      <w:pPr>
        <w:rPr>
          <w:rFonts w:eastAsia="Times New Roman"/>
          <w:sz w:val="24"/>
          <w:szCs w:val="24"/>
        </w:rPr>
      </w:pPr>
    </w:p>
    <w:p w14:paraId="3D672D86">
      <w:pPr>
        <w:rPr>
          <w:rFonts w:eastAsia="Times New Roman"/>
          <w:sz w:val="24"/>
          <w:szCs w:val="24"/>
        </w:rPr>
      </w:pPr>
    </w:p>
    <w:p w14:paraId="79C897FE">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b/>
          <w:sz w:val="24"/>
          <w:szCs w:val="24"/>
        </w:rPr>
      </w:pPr>
      <w:r>
        <w:rPr>
          <w:rFonts w:eastAsia="Times New Roman"/>
          <w:b/>
          <w:sz w:val="24"/>
          <w:szCs w:val="24"/>
        </w:rPr>
        <w:t>LƯU Ý:</w:t>
      </w:r>
    </w:p>
    <w:p w14:paraId="17CAE3DB">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Hàng mới 100%</w:t>
      </w:r>
      <w:bookmarkStart w:id="0" w:name="_GoBack"/>
      <w:bookmarkEnd w:id="0"/>
    </w:p>
    <w:p w14:paraId="1242F110">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Giá trên đã bao gồm VAT 10%</w:t>
      </w:r>
    </w:p>
    <w:p w14:paraId="213AB30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 xml:space="preserve">Phương thức giao hàng: </w:t>
      </w:r>
      <w:r>
        <w:rPr>
          <w:rFonts w:eastAsia="Times New Roman"/>
          <w:sz w:val="24"/>
          <w:szCs w:val="24"/>
        </w:rPr>
        <w:t xml:space="preserve">Giá trên đã bao gồm phí vận chuyển giao tận nơi tại  hoặc địa điểm theo thỏa thuận mà không phát sinh chi phí. </w:t>
      </w:r>
    </w:p>
    <w:p w14:paraId="26FE19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Thời gian nhận hàng:</w:t>
      </w:r>
      <w:r>
        <w:rPr>
          <w:rFonts w:eastAsia="Times New Roman"/>
          <w:sz w:val="24"/>
          <w:szCs w:val="24"/>
        </w:rPr>
        <w:t xml:space="preserve"> 1 - 3  ngày kể từ khi nhận được thanh toán</w:t>
      </w:r>
    </w:p>
    <w:p w14:paraId="3DC1178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Báo giá có hiệu lực:</w:t>
      </w:r>
      <w:r>
        <w:rPr>
          <w:rFonts w:eastAsia="Times New Roman"/>
          <w:sz w:val="24"/>
          <w:szCs w:val="24"/>
        </w:rPr>
        <w:t xml:space="preserve"> trong 07 ngày kể từ ngày báo giá.</w:t>
      </w:r>
    </w:p>
    <w:p w14:paraId="4B2D4F8D">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 xml:space="preserve">Phương thức thanh toán: </w:t>
      </w:r>
      <w:r>
        <w:rPr>
          <w:rFonts w:eastAsia="Times New Roman"/>
          <w:sz w:val="24"/>
          <w:szCs w:val="24"/>
        </w:rPr>
        <w:t>Thanh toán bằng hình thức chuyển khoản. Thanh toán trước 100% giá trị đơn hàng khi xác nhận đơn hàng.</w:t>
      </w:r>
    </w:p>
    <w:p w14:paraId="37628308">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ind w:left="283" w:hanging="283"/>
        <w:rPr>
          <w:rFonts w:eastAsia="Times New Roman"/>
          <w:sz w:val="24"/>
          <w:szCs w:val="24"/>
        </w:rPr>
      </w:pPr>
      <w:r>
        <w:rPr>
          <w:rFonts w:eastAsia="Times New Roman"/>
          <w:b/>
          <w:sz w:val="24"/>
          <w:szCs w:val="24"/>
        </w:rPr>
        <w:t xml:space="preserve">Thời gian bảo hành: </w:t>
      </w:r>
    </w:p>
    <w:p w14:paraId="3649BA52">
      <w:pPr>
        <w:pBdr>
          <w:top w:val="none" w:color="000000" w:sz="0" w:space="0"/>
          <w:left w:val="none" w:color="000000" w:sz="0" w:space="0"/>
          <w:bottom w:val="none" w:color="000000" w:sz="0" w:space="0"/>
          <w:right w:val="none" w:color="000000" w:sz="0" w:space="0"/>
          <w:between w:val="none" w:color="000000" w:sz="0" w:space="0"/>
        </w:pBdr>
        <w:shd w:val="clear"/>
        <w:ind w:left="283"/>
        <w:rPr>
          <w:rFonts w:eastAsia="Times New Roman"/>
          <w:sz w:val="24"/>
          <w:szCs w:val="24"/>
        </w:rPr>
      </w:pPr>
      <w:r>
        <w:rPr>
          <w:rFonts w:eastAsia="Times New Roman"/>
          <w:sz w:val="24"/>
          <w:szCs w:val="24"/>
        </w:rPr>
        <w:t>Bảo hành 24 tháng theo chính sách Bảo hành chính hãng tính từ khi ký Biên bản Bàn giao - Nghiệm thu.</w:t>
      </w:r>
    </w:p>
    <w:p w14:paraId="5E028EB7">
      <w:pPr>
        <w:pBdr>
          <w:top w:val="none" w:color="000000" w:sz="0" w:space="0"/>
          <w:left w:val="none" w:color="000000" w:sz="0" w:space="0"/>
          <w:bottom w:val="none" w:color="000000" w:sz="0" w:space="0"/>
          <w:right w:val="none" w:color="000000" w:sz="0" w:space="0"/>
          <w:between w:val="none" w:color="000000" w:sz="0" w:space="0"/>
        </w:pBdr>
        <w:shd w:val="clear"/>
        <w:ind w:left="283"/>
        <w:rPr>
          <w:rFonts w:eastAsia="Times New Roman"/>
          <w:sz w:val="24"/>
          <w:szCs w:val="24"/>
        </w:rPr>
      </w:pPr>
    </w:p>
    <w:p w14:paraId="3F461433">
      <w:pPr>
        <w:pBdr>
          <w:top w:val="none" w:color="000000" w:sz="0" w:space="0"/>
          <w:left w:val="none" w:color="000000" w:sz="0" w:space="0"/>
          <w:bottom w:val="none" w:color="000000" w:sz="0" w:space="0"/>
          <w:right w:val="none" w:color="000000" w:sz="0" w:space="0"/>
          <w:between w:val="none" w:color="000000" w:sz="0" w:space="0"/>
        </w:pBdr>
        <w:shd w:val="clear"/>
        <w:ind w:left="567"/>
        <w:rPr>
          <w:rFonts w:eastAsia="Times New Roman"/>
          <w:sz w:val="24"/>
          <w:szCs w:val="24"/>
        </w:rPr>
      </w:pPr>
      <w:r>
        <w:rPr>
          <w:rFonts w:eastAsia="Times New Roman"/>
          <w:sz w:val="24"/>
          <w:szCs w:val="24"/>
        </w:rPr>
        <w:t>Trân trọng !</w:t>
      </w:r>
    </w:p>
    <w:p w14:paraId="37E18353">
      <w:pPr>
        <w:pBdr>
          <w:top w:val="none" w:color="000000" w:sz="0" w:space="0"/>
          <w:left w:val="none" w:color="000000" w:sz="0" w:space="0"/>
          <w:bottom w:val="none" w:color="000000" w:sz="0" w:space="0"/>
          <w:right w:val="none" w:color="000000" w:sz="0" w:space="0"/>
          <w:between w:val="none" w:color="000000" w:sz="0" w:space="0"/>
        </w:pBdr>
        <w:shd w:val="clear"/>
        <w:ind w:left="567"/>
        <w:rPr>
          <w:rFonts w:eastAsia="Times New Roman"/>
          <w:sz w:val="24"/>
          <w:szCs w:val="24"/>
        </w:rPr>
      </w:pPr>
    </w:p>
    <w:p w14:paraId="368386A4">
      <w:pPr>
        <w:pBdr>
          <w:top w:val="none" w:color="000000" w:sz="0" w:space="0"/>
          <w:left w:val="none" w:color="000000" w:sz="0" w:space="0"/>
          <w:bottom w:val="none" w:color="000000" w:sz="0" w:space="0"/>
          <w:right w:val="none" w:color="000000" w:sz="0" w:space="0"/>
          <w:between w:val="none" w:color="000000" w:sz="0" w:space="0"/>
        </w:pBdr>
        <w:shd w:val="clear"/>
        <w:ind w:left="4956"/>
        <w:rPr>
          <w:rFonts w:eastAsia="Times New Roman"/>
          <w:sz w:val="24"/>
          <w:szCs w:val="24"/>
        </w:rPr>
      </w:pPr>
      <w:r>
        <w:rPr>
          <w:rFonts w:eastAsia="Times New Roman"/>
          <w:i/>
          <w:sz w:val="24"/>
          <w:szCs w:val="24"/>
        </w:rPr>
        <w:t xml:space="preserve">      Tp. HCM, Ngày  tháng  năm </w:t>
      </w:r>
    </w:p>
    <w:p w14:paraId="16A40592">
      <w:pPr>
        <w:pBdr>
          <w:top w:val="none" w:color="000000" w:sz="0" w:space="0"/>
          <w:left w:val="none" w:color="000000" w:sz="0" w:space="0"/>
          <w:bottom w:val="none" w:color="000000" w:sz="0" w:space="0"/>
          <w:right w:val="none" w:color="000000" w:sz="0" w:space="0"/>
          <w:between w:val="none" w:color="000000" w:sz="0" w:space="0"/>
        </w:pBdr>
        <w:shd w:val="clear"/>
        <w:rPr>
          <w:rFonts w:eastAsia="Times New Roman"/>
          <w:b/>
          <w:sz w:val="24"/>
          <w:szCs w:val="24"/>
        </w:rPr>
      </w:pPr>
      <w:r>
        <w:rPr>
          <w:rFonts w:eastAsia="Times New Roman"/>
          <w:b/>
          <w:sz w:val="24"/>
          <w:szCs w:val="24"/>
        </w:rPr>
        <w:t>XÁC NHẬN CỦA KHÁCH HÀNG</w:t>
      </w:r>
      <w:r>
        <w:rPr>
          <w:rFonts w:eastAsia="Times New Roman"/>
          <w:sz w:val="24"/>
          <w:szCs w:val="24"/>
        </w:rPr>
        <w:t xml:space="preserve">              </w:t>
      </w:r>
      <w:r>
        <w:rPr>
          <w:rFonts w:eastAsia="Times New Roman"/>
          <w:b/>
          <w:sz w:val="24"/>
          <w:szCs w:val="24"/>
        </w:rPr>
        <w:t>CTY TNHH SANDEN INTERCOOL VIỆT NAM</w:t>
      </w:r>
    </w:p>
    <w:sectPr>
      <w:footnotePr>
        <w:numFmt w:val="decimal"/>
      </w:footnotePr>
      <w:type w:val="continuous"/>
      <w:pgSz w:w="11907" w:h="16840"/>
      <w:pgMar w:top="57" w:right="1134" w:bottom="1134" w:left="1134" w:header="0"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BF1F08"/>
    <w:multiLevelType w:val="singleLevel"/>
    <w:tmpl w:val="26BF1F08"/>
    <w:lvl w:ilvl="0" w:tentative="0">
      <w:start w:val="0"/>
      <w:numFmt w:val="bullet"/>
      <w:lvlText w:val=""/>
      <w:lvlJc w:val="left"/>
      <w:pPr>
        <w:ind w:left="0" w:firstLine="0"/>
      </w:pPr>
      <w:rPr>
        <w:rFonts w:ascii="Wingdings" w:hAnsi="Wingdings" w:eastAsia="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283"/>
  <w:drawingGridVerticalSpacing w:val="283"/>
  <w:doNotShadeFormData w:val="1"/>
  <w:compat>
    <w:compatSetting w:name="compatibilityMode" w:uri="http://schemas.microsoft.com/office/word" w:val="15"/>
  </w:compat>
  <w:rsids>
    <w:rsidRoot w:val="00000000"/>
    <w:rsid w:val="6DBA57CF"/>
    <w:rsid w:val="7B33F370"/>
    <w:rsid w:val="7FDFD3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10" w:semiHidden="0" w:name="Title"/>
    <w:lsdException w:unhideWhenUsed="0" w:uiPriority="99" w:semiHidden="0" w:name="Closing"/>
    <w:lsdException w:unhideWhenUsed="0" w:uiPriority="99" w:semiHidden="0" w:name="Signature"/>
    <w:lsdException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11"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kern w:val="1"/>
      <w:sz w:val="20"/>
      <w:szCs w:val="20"/>
      <w:lang w:val="vi-VN" w:eastAsia="zh-CN" w:bidi="ar-SA"/>
    </w:rPr>
  </w:style>
  <w:style w:type="paragraph" w:styleId="2">
    <w:name w:val="heading 1"/>
    <w:basedOn w:val="1"/>
    <w:next w:val="1"/>
    <w:qFormat/>
    <w:uiPriority w:val="0"/>
    <w:pPr>
      <w:keepNext/>
      <w:keepLines/>
      <w:spacing w:before="240" w:after="60"/>
      <w:outlineLvl w:val="0"/>
    </w:pPr>
    <w:rPr>
      <w:rFonts w:ascii="Arial" w:hAnsi="Arial" w:cs="Arial"/>
      <w:b/>
      <w:bCs/>
      <w:sz w:val="36"/>
      <w:szCs w:val="36"/>
    </w:rPr>
  </w:style>
  <w:style w:type="paragraph" w:styleId="3">
    <w:name w:val="heading 2"/>
    <w:basedOn w:val="2"/>
    <w:next w:val="1"/>
    <w:qFormat/>
    <w:uiPriority w:val="0"/>
    <w:pPr>
      <w:outlineLvl w:val="1"/>
    </w:pPr>
    <w:rPr>
      <w:sz w:val="32"/>
      <w:szCs w:val="32"/>
    </w:rPr>
  </w:style>
  <w:style w:type="paragraph" w:styleId="4">
    <w:name w:val="heading 3"/>
    <w:basedOn w:val="3"/>
    <w:next w:val="1"/>
    <w:qFormat/>
    <w:uiPriority w:val="0"/>
    <w:pPr>
      <w:outlineLvl w:val="2"/>
    </w:pPr>
    <w:rPr>
      <w:sz w:val="28"/>
      <w:szCs w:val="28"/>
    </w:rPr>
  </w:style>
  <w:style w:type="character" w:default="1" w:styleId="5">
    <w:name w:val="Default Paragraph Font"/>
    <w:uiPriority w:val="0"/>
  </w:style>
  <w:style w:type="table" w:default="1" w:styleId="6">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1</Pages>
  <TotalTime>6</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2026-04-11T02:56:00Z</dcterms:created>
  <dc:creator>letruongson195</dc:creator>
  <cp:lastModifiedBy>Sanden Nhật Tủ Đông - Tủ Mát</cp:lastModifiedBy>
  <dcterms:modified xsi:type="dcterms:W3CDTF">2026-04-18T21:40:18Z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A7D8037602743927ED3DE069492F1819_42</vt:lpwstr>
  </property>
</Properties>
</file>