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  <w:jc w:val="left"/>
      </w:pPr>
      <w:r>
        <w:rPr>
          <w:rFonts w:ascii="Calibri" w:hAnsi="Calibri" w:eastAsia="Microsoft YaHei"/>
          <w:b/>
          <w:color w:val="2E74B5"/>
          <w:sz w:val="18"/>
        </w:rPr>
        <w:t>PROJECT REVIEW  ·  2026</w:t>
      </w:r>
    </w:p>
    <w:p>
      <w:pPr>
        <w:spacing w:after="280"/>
      </w:pPr>
      <w:r>
        <w:rPr>
          <w:rFonts w:ascii="Calibri" w:hAnsi="Calibri" w:eastAsia="Microsoft YaHei"/>
          <w:b/>
          <w:color w:val="17365D"/>
          <w:sz w:val="60"/>
        </w:rPr>
        <w:t>后端系统总结</w:t>
        <w:br/>
        <w:t>与优化报告</w:t>
      </w:r>
    </w:p>
    <w:p>
      <w:pPr>
        <w:spacing w:after="560"/>
      </w:pPr>
      <w:r>
        <w:rPr>
          <w:rFonts w:ascii="Calibri" w:hAnsi="Calibri" w:eastAsia="Microsoft YaHei"/>
          <w:color w:val="667085"/>
          <w:sz w:val="30"/>
        </w:rPr>
        <w:t>Advertiser CRM Backend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space="0" w:color="2E74B5"/>
          <w:left w:val="single" w:sz="0" w:space="0" w:color="2E74B5"/>
          <w:bottom w:val="single" w:sz="0" w:space="0" w:color="2E74B5"/>
          <w:right w:val="single" w:sz="0" w:space="0" w:color="2E74B5"/>
          <w:insideH w:val="single" w:sz="0" w:space="0" w:color="2E74B5"/>
          <w:insideV w:val="single" w:sz="0" w:space="0" w:color="2E74B5"/>
        </w:tblBorders>
      </w:tblPr>
      <w:tblGrid>
        <w:gridCol w:w="9360"/>
      </w:tblGrid>
      <w:tr>
        <w:tc>
          <w:tcPr>
            <w:tcW w:type="dxa" w:w="9360"/>
            <w:shd w:fill="2E74B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</w:tr>
    </w:tbl>
    <w:p>
      <w:pPr>
        <w:spacing w:before="520" w:after="160"/>
      </w:pPr>
      <w:r>
        <w:rPr>
          <w:rFonts w:ascii="Calibri" w:hAnsi="Calibri" w:eastAsia="Microsoft YaHei"/>
          <w:b/>
          <w:color w:val="2E74B5"/>
          <w:sz w:val="20"/>
        </w:rPr>
        <w:t>报告范围</w:t>
      </w:r>
    </w:p>
    <w:p>
      <w:pPr>
        <w:spacing w:after="520"/>
      </w:pPr>
      <w:r>
        <w:rPr>
          <w:rFonts w:ascii="Calibri" w:hAnsi="Calibri" w:eastAsia="Microsoft YaHei"/>
          <w:b/>
          <w:color w:val="17365D"/>
          <w:sz w:val="28"/>
        </w:rPr>
        <w:t>Sprint 1 — Sprint 3 完整开发过程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800"/>
            <w:tcMar>
              <w:top w:w="100" w:type="dxa"/>
              <w:start w:w="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技术基线</w:t>
            </w:r>
          </w:p>
        </w:tc>
        <w:tc>
          <w:tcPr>
            <w:tcW w:type="dxa" w:w="7560"/>
            <w:tcMar>
              <w:top w:w="100" w:type="dxa"/>
              <w:start w:w="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Java 21  ·  Spring Boot 3.5  ·  PostgreSQL 16  ·  MyBatis-Plus  ·  Flyway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报告主题</w:t>
            </w:r>
          </w:p>
        </w:tc>
        <w:tc>
          <w:tcPr>
            <w:tcW w:type="dxa" w:w="7560"/>
            <w:tcMar>
              <w:top w:w="100" w:type="dxa"/>
              <w:start w:w="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系统架构  ·  技术难点  ·  优化说明  ·  项目亮点  ·  未来扩展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形成时间</w:t>
            </w:r>
          </w:p>
        </w:tc>
        <w:tc>
          <w:tcPr>
            <w:tcW w:type="dxa" w:w="7560"/>
            <w:tcMar>
              <w:top w:w="100" w:type="dxa"/>
              <w:start w:w="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 年 9 月</w:t>
            </w:r>
          </w:p>
        </w:tc>
      </w:tr>
    </w:tbl>
    <w:p>
      <w:pPr>
        <w:spacing w:before="680" w:after="0"/>
      </w:pPr>
      <w:r>
        <w:rPr>
          <w:rFonts w:ascii="Calibri" w:hAnsi="Calibri" w:eastAsia="Microsoft YaHei"/>
          <w:color w:val="667085"/>
          <w:sz w:val="18"/>
        </w:rPr>
        <w:t>本报告依据当前代码、数据库迁移、性能复现实验与自动化测试结果整理。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pageBreakBefore/>
      </w:pPr>
      <w:r>
        <w:t>1  系统架构总结</w:t>
      </w:r>
    </w:p>
    <w:p>
      <w:pPr>
        <w:pStyle w:val="BodyLead"/>
      </w:pPr>
      <w:r>
        <w:t>Advertiser CRM 是面向广告业务后台的模块化单体系统。项目围绕内部用户、广告主档案、投放数据、统计报表、账户资金与充值处理形成完整业务闭环；三个 Sprint 依次完成基础能力、核心业务和工程化收尾。</w:t>
      </w:r>
    </w:p>
    <w:p>
      <w:pPr>
        <w:pStyle w:val="Heading2"/>
      </w:pPr>
      <w:r>
        <w:t>1.1  三个 Sprint 的架构演进</w:t>
      </w:r>
    </w:p>
    <w:p>
      <w:pPr>
        <w:pStyle w:val="Caption"/>
        <w:keepNext/>
        <w:pageBreakBefore w:val="0"/>
      </w:pPr>
      <w:r>
        <w:t>表 1  Sprint 1—Sprint 3 的开发主线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W w:w="936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阶段</w:t>
            </w:r>
          </w:p>
        </w:tc>
        <w:tc>
          <w:tcPr>
            <w:tcW w:type="dxa" w:w="31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建设重点</w:t>
            </w:r>
          </w:p>
        </w:tc>
        <w:tc>
          <w:tcPr>
            <w:tcW w:type="dxa" w:w="4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架构结果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Sprint 1</w:t>
              <w:br/>
              <w:t>基础建设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公共 Web 规范、JWT 认证与权限、用户管理、广告主分类和档案</w:t>
            </w:r>
          </w:p>
        </w:tc>
        <w:tc>
          <w:tcPr>
            <w:tcW w:type="dxa" w:w="4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建立模块化分包、统一响应、角色控制、Flyway 基线与数据库约束，为后续业务模块提供稳定入口。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Sprint 2</w:t>
              <w:br/>
              <w:t>业务闭环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投放数据、统计报表、广告主账户、消费流水、充值订单和模拟支付回调</w:t>
            </w:r>
          </w:p>
        </w:tc>
        <w:tc>
          <w:tcPr>
            <w:tcW w:type="dxa" w:w="4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从普通 CRUD 扩展到聚合 SQL、资金事务、并发控制、状态机、HMAC 验签与幂等处理。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Sprint 3</w:t>
              <w:br/>
              <w:t>工程收尾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统一错误语义、参数校验、全局异常、性能优化、日志、结构与文档整理</w:t>
            </w:r>
          </w:p>
        </w:tc>
        <w:tc>
          <w:tcPr>
            <w:tcW w:type="dxa" w:w="4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在不新增业务范围的前提下，提高一致性、可观测性、可维护性与可复现性。</w:t>
            </w:r>
          </w:p>
        </w:tc>
      </w:tr>
    </w:tbl>
    <w:p>
      <w:pPr>
        <w:spacing w:after="0"/>
      </w:pPr>
    </w:p>
    <w:p>
      <w:pPr>
        <w:pStyle w:val="Heading2"/>
      </w:pPr>
      <w:r>
        <w:t>1.2  分层与模块边界</w:t>
      </w:r>
    </w:p>
    <w:p>
      <w:r>
        <w:t>系统采用一个 Spring Boot 应用与一个 PostgreSQL 数据库。代码按业务模块组织，模块内部再按 Controller、Service、Mapper、DTO、Entity、Exception、Validation 等职责分层。Controller 负责协议适配与输入校验，Service 负责业务规则和事务，Mapper/MyBatis XML 负责持久化与聚合查询，数据库约束负责兜底数据完整性。</w:t>
      </w:r>
    </w:p>
    <w:p>
      <w:pPr>
        <w:spacing w:after="160" w:line="280" w:lineRule="auto"/>
        <w:numPr>
          <w:ilvl w:val="0"/>
          <w:numId w:val="10"/>
        </w:numPr>
      </w:pPr>
      <w:r>
        <w:t>公共层：common、config、security，统一响应、错误码、异常处理、请求追踪与安全配置。</w:t>
      </w:r>
    </w:p>
    <w:p>
      <w:pPr>
        <w:spacing w:after="160" w:line="280" w:lineRule="auto"/>
        <w:numPr>
          <w:ilvl w:val="0"/>
          <w:numId w:val="10"/>
        </w:numPr>
      </w:pPr>
      <w:r>
        <w:t>基础管理：auth、user、category、advertiser，负责身份、权限和广告主主数据。</w:t>
      </w:r>
    </w:p>
    <w:p>
      <w:pPr>
        <w:spacing w:after="160" w:line="280" w:lineRule="auto"/>
        <w:numPr>
          <w:ilvl w:val="0"/>
          <w:numId w:val="10"/>
        </w:numPr>
      </w:pPr>
      <w:r>
        <w:t>业务事实：delivery、report，负责投放记录、筛选分页和统计聚合。</w:t>
      </w:r>
    </w:p>
    <w:p>
      <w:pPr>
        <w:spacing w:after="160" w:line="280" w:lineRule="auto"/>
        <w:numPr>
          <w:ilvl w:val="0"/>
          <w:numId w:val="10"/>
        </w:numPr>
      </w:pPr>
      <w:r>
        <w:t>资金链路：account、payment，负责余额、不可变流水、充值订单与回调审计。</w:t>
      </w:r>
    </w:p>
    <w:p>
      <w:pPr>
        <w:pStyle w:val="Heading2"/>
      </w:pPr>
      <w:r>
        <w:t>1.3  业务与数据流</w:t>
      </w:r>
    </w:p>
    <w:p>
      <w:r>
        <w:t>广告主是系统的业务聚合入口：广告主连接分类与负责人，拥有投放事实和唯一资金账户；投放事实进入报表聚合，也可以被消费流水引用；资金账户连接消费流水、充值订单和支付回调审计。跨请求追踪与幂等依赖外部记录号、业务号、订单号和支付事件号，数据库自增 ID 仅用于内部关联。</w:t>
      </w:r>
    </w:p>
    <w:p>
      <w:r>
        <w:rPr>
          <w:b/>
          <w:color w:val="17365D"/>
        </w:rPr>
        <w:t>管理链路：</w:t>
      </w:r>
      <w:r>
        <w:t>用户认证与授权 → 分类/广告主建档 → 负责人及状态维护。</w:t>
      </w:r>
    </w:p>
    <w:p>
      <w:r>
        <w:rPr>
          <w:b/>
          <w:color w:val="17365D"/>
        </w:rPr>
        <w:t>投放链路：</w:t>
      </w:r>
      <w:r>
        <w:t>投放事实录入 → 组合筛选与物理分页 → 日/周/月及多维报表聚合。</w:t>
      </w:r>
    </w:p>
    <w:p>
      <w:r>
        <w:rPr>
          <w:b/>
          <w:color w:val="17365D"/>
        </w:rPr>
        <w:t>资金链路：</w:t>
      </w:r>
      <w:r>
        <w:t>创建零余额账户 → 原子消费扣款/充值入账 → 追加不可变流水 → 审计追踪。</w:t>
      </w:r>
    </w:p>
    <w:p>
      <w:pPr>
        <w:pStyle w:val="Heading2"/>
      </w:pPr>
      <w:r>
        <w:t>1.4  数据完整性与事务边界</w:t>
      </w:r>
    </w:p>
    <w:p>
      <w:r>
        <w:t>Flyway 以只增不改的迁移方式完成数据库从 V1 到 V11 的演进。应用校验用于尽早返回清晰错误，数据库的非空、唯一、检查约束、外键与触发器则抵御并发请求、代码遗漏或绕过应用的非法写入。</w:t>
      </w:r>
    </w:p>
    <w:p>
      <w:pPr>
        <w:spacing w:after="160" w:line="280" w:lineRule="auto"/>
        <w:numPr>
          <w:ilvl w:val="0"/>
          <w:numId w:val="10"/>
        </w:numPr>
      </w:pPr>
      <w:r>
        <w:t>创建广告主与零余额账户在同一事务完成。</w:t>
      </w:r>
    </w:p>
    <w:p>
      <w:pPr>
        <w:spacing w:after="160" w:line="280" w:lineRule="auto"/>
        <w:numPr>
          <w:ilvl w:val="0"/>
          <w:numId w:val="10"/>
        </w:numPr>
      </w:pPr>
      <w:r>
        <w:t>余额扣减与消费流水追加在同一事务完成，失败时整体回滚。</w:t>
      </w:r>
    </w:p>
    <w:p>
      <w:pPr>
        <w:spacing w:after="160" w:line="280" w:lineRule="auto"/>
        <w:numPr>
          <w:ilvl w:val="0"/>
          <w:numId w:val="10"/>
        </w:numPr>
      </w:pPr>
      <w:r>
        <w:t>支付成功同时更新订单、增加余额、写充值流水和回调审计。</w:t>
      </w:r>
    </w:p>
    <w:p>
      <w:pPr>
        <w:spacing w:after="160" w:line="280" w:lineRule="auto"/>
        <w:numPr>
          <w:ilvl w:val="0"/>
          <w:numId w:val="10"/>
        </w:numPr>
      </w:pPr>
      <w:r>
        <w:t>管理员状态变更锁定有效管理员集合，保证系统始终保留可用管理员。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4F8FB"/>
          <w:left w:val="single" w:sz="0" w:space="0" w:color="F4F8FB"/>
          <w:bottom w:val="single" w:sz="0" w:space="0" w:color="F4F8FB"/>
          <w:right w:val="single" w:sz="0" w:space="0" w:color="F4F8FB"/>
          <w:insideH w:val="single" w:sz="0" w:space="0" w:color="F4F8FB"/>
          <w:insideV w:val="single" w:sz="0" w:space="0" w:color="F4F8FB"/>
        </w:tblBorders>
      </w:tblPr>
      <w:tblGrid>
        <w:gridCol w:w="115"/>
        <w:gridCol w:w="9245"/>
      </w:tblGrid>
      <w:tr>
        <w:trPr>
          <w:cantSplit/>
        </w:trPr>
        <w:tc>
          <w:tcPr>
            <w:tcW w:type="dxa" w:w="115"/>
            <w:shd w:fill="2E74B5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9245"/>
            <w:shd w:fill="F4F8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Callout"/>
              <w:spacing w:before="0" w:after="0"/>
              <w:ind w:left="0" w:right="0"/>
            </w:pPr>
            <w:r>
              <w:t>架构取舍：当前规模优先采用模块化单体，保持部署与本地事务简单；通过清晰模块边界和数据库保护获得可维护性，而不是在业务规则尚未稳定时过早拆分微服务。</w:t>
            </w:r>
          </w:p>
        </w:tc>
      </w:tr>
    </w:tbl>
    <w:p>
      <w:pPr>
        <w:pStyle w:val="Heading1"/>
        <w:pageBreakBefore/>
      </w:pPr>
      <w:r>
        <w:t>2  核心技术难点分析</w:t>
      </w:r>
    </w:p>
    <w:p>
      <w:pPr>
        <w:pStyle w:val="BodyLead"/>
      </w:pPr>
      <w:r>
        <w:t>技术难点主要集中在权限的实时有效性、统计口径、资金一致性以及公开支付回调的安全与幂等。它们贯穿 Sprint 1 和 Sprint 2，并在 Sprint 3 通过契约测试与工程规范进一步固化。</w:t>
      </w:r>
    </w:p>
    <w:p>
      <w:pPr>
        <w:pStyle w:val="Heading2"/>
      </w:pPr>
      <w:r>
        <w:t>2.1  认证、权限与账号状态</w:t>
      </w:r>
    </w:p>
    <w:p>
      <w:r>
        <w:rPr>
          <w:b/>
          <w:color w:val="17365D"/>
        </w:rPr>
        <w:t>难点：</w:t>
      </w:r>
      <w:r>
        <w:t>JWT 签名有效并不代表账号当前仍可用；用户可能在 Token 有效期内被禁用或改变角色。管理员变更还必须避免最后一个有效管理员被并发禁用或删除。</w:t>
      </w:r>
    </w:p>
    <w:p>
      <w:r>
        <w:rPr>
          <w:b/>
          <w:color w:val="17365D"/>
        </w:rPr>
        <w:t>解决思路：</w:t>
      </w:r>
      <w:r/>
    </w:p>
    <w:p>
      <w:pPr>
        <w:spacing w:after="160" w:line="280" w:lineRule="auto"/>
        <w:numPr>
          <w:ilvl w:val="0"/>
          <w:numId w:val="10"/>
        </w:numPr>
      </w:pPr>
      <w:r>
        <w:t>认证过滤器解析 Token 后重新读取数据库，仅为 ACTIVE 用户建立安全上下文，角色以数据库当前状态为准。</w:t>
      </w:r>
    </w:p>
    <w:p>
      <w:pPr>
        <w:spacing w:after="160" w:line="280" w:lineRule="auto"/>
        <w:numPr>
          <w:ilvl w:val="0"/>
          <w:numId w:val="10"/>
        </w:numPr>
      </w:pPr>
      <w:r>
        <w:t>公开注册固定创建 PENDING OPERATOR，客户端不能自行申请管理员权限。</w:t>
      </w:r>
    </w:p>
    <w:p>
      <w:pPr>
        <w:spacing w:after="160" w:line="280" w:lineRule="auto"/>
        <w:numPr>
          <w:ilvl w:val="0"/>
          <w:numId w:val="10"/>
        </w:numPr>
      </w:pPr>
      <w:r>
        <w:t>降级、禁用或删除管理员前锁定有效管理员集合，并用数据库保护作为最终防线。</w:t>
      </w:r>
    </w:p>
    <w:p>
      <w:pPr>
        <w:spacing w:after="160" w:line="280" w:lineRule="auto"/>
        <w:numPr>
          <w:ilvl w:val="0"/>
          <w:numId w:val="10"/>
        </w:numPr>
      </w:pPr>
      <w:r>
        <w:t>登录与注册入口限流，登录失败使用统一凭据错误，避免泄露账号是否存在。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4F8FB"/>
          <w:left w:val="single" w:sz="0" w:space="0" w:color="F4F8FB"/>
          <w:bottom w:val="single" w:sz="0" w:space="0" w:color="F4F8FB"/>
          <w:right w:val="single" w:sz="0" w:space="0" w:color="F4F8FB"/>
          <w:insideH w:val="single" w:sz="0" w:space="0" w:color="F4F8FB"/>
          <w:insideV w:val="single" w:sz="0" w:space="0" w:color="F4F8FB"/>
        </w:tblBorders>
      </w:tblPr>
      <w:tblGrid>
        <w:gridCol w:w="115"/>
        <w:gridCol w:w="9245"/>
      </w:tblGrid>
      <w:tr>
        <w:trPr>
          <w:cantSplit/>
        </w:trPr>
        <w:tc>
          <w:tcPr>
            <w:tcW w:type="dxa" w:w="115"/>
            <w:shd w:fill="2E74B5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9245"/>
            <w:shd w:fill="F4F8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Callout"/>
              <w:spacing w:before="0" w:after="0"/>
              <w:ind w:left="0" w:right="0"/>
            </w:pPr>
            <w:r>
              <w:t>结果：权限判断可反映账号实时状态，管理员入口在并发场景下仍可保持可用。</w:t>
            </w:r>
          </w:p>
        </w:tc>
      </w:tr>
    </w:tbl>
    <w:p>
      <w:pPr>
        <w:pStyle w:val="Heading2"/>
        <w:pageBreakBefore/>
      </w:pPr>
      <w:r>
        <w:t>2.2  统计口径与动态聚合查询</w:t>
      </w:r>
    </w:p>
    <w:p>
      <w:r>
        <w:rPr>
          <w:b/>
          <w:color w:val="17365D"/>
        </w:rPr>
        <w:t>难点：</w:t>
      </w:r>
      <w:r>
        <w:t>CTR、CVR、CPC 等指标不能先按明细计算再平均；查询同时存在可选日期、广告主、广告类型、时间粒度、排序和分页，容易出现口径漂移、分页总数不一致或不安全动态 SQL。</w:t>
      </w:r>
    </w:p>
    <w:p>
      <w:r>
        <w:rPr>
          <w:b/>
          <w:color w:val="17365D"/>
        </w:rPr>
        <w:t>解决思路：</w:t>
      </w:r>
      <w:r/>
    </w:p>
    <w:p>
      <w:pPr>
        <w:spacing w:after="160" w:line="280" w:lineRule="auto"/>
        <w:numPr>
          <w:ilvl w:val="0"/>
          <w:numId w:val="10"/>
        </w:numPr>
      </w:pPr>
      <w:r>
        <w:t>在 PostgreSQL 中先聚合分子和分母，再计算比率；通过 NULLIF 与 COALESCE 稳定处理零分母。</w:t>
      </w:r>
    </w:p>
    <w:p>
      <w:pPr>
        <w:spacing w:after="160" w:line="280" w:lineRule="auto"/>
        <w:numPr>
          <w:ilvl w:val="0"/>
          <w:numId w:val="10"/>
        </w:numPr>
      </w:pPr>
      <w:r>
        <w:t>日期范围、粒度、排序字段和方向在 Service 层归一化并使用枚举白名单。</w:t>
      </w:r>
    </w:p>
    <w:p>
      <w:pPr>
        <w:spacing w:after="160" w:line="280" w:lineRule="auto"/>
        <w:numPr>
          <w:ilvl w:val="0"/>
          <w:numId w:val="10"/>
        </w:numPr>
      </w:pPr>
      <w:r>
        <w:t>数据查询与 COUNT 复用相同过滤条件，趋势按自然日、周一为起点的自然周或自然月聚合。</w:t>
      </w:r>
    </w:p>
    <w:p>
      <w:pPr>
        <w:spacing w:after="160" w:line="280" w:lineRule="auto"/>
        <w:numPr>
          <w:ilvl w:val="0"/>
          <w:numId w:val="10"/>
        </w:numPr>
      </w:pPr>
      <w:r>
        <w:t>仅在存在广告类型筛选时 JOIN 类型表，兼顾正确性和执行效率。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4F8FB"/>
          <w:left w:val="single" w:sz="0" w:space="0" w:color="F4F8FB"/>
          <w:bottom w:val="single" w:sz="0" w:space="0" w:color="F4F8FB"/>
          <w:right w:val="single" w:sz="0" w:space="0" w:color="F4F8FB"/>
          <w:insideH w:val="single" w:sz="0" w:space="0" w:color="F4F8FB"/>
          <w:insideV w:val="single" w:sz="0" w:space="0" w:color="F4F8FB"/>
        </w:tblBorders>
      </w:tblPr>
      <w:tblGrid>
        <w:gridCol w:w="115"/>
        <w:gridCol w:w="9245"/>
      </w:tblGrid>
      <w:tr>
        <w:trPr>
          <w:cantSplit/>
        </w:trPr>
        <w:tc>
          <w:tcPr>
            <w:tcW w:type="dxa" w:w="115"/>
            <w:shd w:fill="2E74B5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9245"/>
            <w:shd w:fill="F4F8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Callout"/>
              <w:spacing w:before="0" w:after="0"/>
              <w:ind w:left="0" w:right="0"/>
            </w:pPr>
            <w:r>
              <w:t>结果：总览、趋势和维度报表具有统一统计口径，支持稳定物理分页与受控排序。</w:t>
            </w:r>
          </w:p>
        </w:tc>
      </w:tr>
    </w:tbl>
    <w:p>
      <w:pPr>
        <w:pStyle w:val="Heading2"/>
      </w:pPr>
      <w:r>
        <w:t>2.3  账户余额、流水与并发扣款</w:t>
      </w:r>
    </w:p>
    <w:p>
      <w:r>
        <w:rPr>
          <w:b/>
          <w:color w:val="17365D"/>
        </w:rPr>
        <w:t>难点：</w:t>
      </w:r>
      <w:r>
        <w:t>“先查余额再扣款”会在并发下超扣；余额与流水若分开提交会产生账实不一致；重复业务号还可能造成重复扣款。</w:t>
      </w:r>
    </w:p>
    <w:p>
      <w:r>
        <w:rPr>
          <w:b/>
          <w:color w:val="17365D"/>
        </w:rPr>
        <w:t>解决思路：</w:t>
      </w:r>
      <w:r/>
    </w:p>
    <w:p>
      <w:pPr>
        <w:spacing w:after="160" w:line="280" w:lineRule="auto"/>
        <w:numPr>
          <w:ilvl w:val="0"/>
          <w:numId w:val="10"/>
        </w:numPr>
      </w:pPr>
      <w:r>
        <w:t>使用 UPDATE … WHERE balance &gt;= amount RETURNING balance 原子判断并扣减余额。</w:t>
      </w:r>
    </w:p>
    <w:p>
      <w:pPr>
        <w:spacing w:after="160" w:line="280" w:lineRule="auto"/>
        <w:numPr>
          <w:ilvl w:val="0"/>
          <w:numId w:val="10"/>
        </w:numPr>
      </w:pPr>
      <w:r>
        <w:t>扣款和 CONSUMPTION 流水写入位于同一事务，后续失败自动回滚。</w:t>
      </w:r>
    </w:p>
    <w:p>
      <w:pPr>
        <w:spacing w:after="160" w:line="280" w:lineRule="auto"/>
        <w:numPr>
          <w:ilvl w:val="0"/>
          <w:numId w:val="10"/>
        </w:numPr>
      </w:pPr>
      <w:r>
        <w:t>business_no 全局唯一，并使用条件写入处理并发重复请求。</w:t>
      </w:r>
    </w:p>
    <w:p>
      <w:pPr>
        <w:spacing w:after="160" w:line="280" w:lineRule="auto"/>
        <w:numPr>
          <w:ilvl w:val="0"/>
          <w:numId w:val="10"/>
        </w:numPr>
      </w:pPr>
      <w:r>
        <w:t>资金流水只追加、不开放修改和删除；关联投放时锁定记录并校验广告主归属。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4F8FB"/>
          <w:left w:val="single" w:sz="0" w:space="0" w:color="F4F8FB"/>
          <w:bottom w:val="single" w:sz="0" w:space="0" w:color="F4F8FB"/>
          <w:right w:val="single" w:sz="0" w:space="0" w:color="F4F8FB"/>
          <w:insideH w:val="single" w:sz="0" w:space="0" w:color="F4F8FB"/>
          <w:insideV w:val="single" w:sz="0" w:space="0" w:color="F4F8FB"/>
        </w:tblBorders>
      </w:tblPr>
      <w:tblGrid>
        <w:gridCol w:w="115"/>
        <w:gridCol w:w="9245"/>
      </w:tblGrid>
      <w:tr>
        <w:trPr>
          <w:cantSplit/>
        </w:trPr>
        <w:tc>
          <w:tcPr>
            <w:tcW w:type="dxa" w:w="115"/>
            <w:shd w:fill="2E74B5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9245"/>
            <w:shd w:fill="F4F8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Callout"/>
              <w:spacing w:before="0" w:after="0"/>
              <w:ind w:left="0" w:right="0"/>
            </w:pPr>
            <w:r>
              <w:t>结果：并发扣款不会突破余额，重复请求不会形成重复资金变动，余额与流水可相互核对。</w:t>
            </w:r>
          </w:p>
        </w:tc>
      </w:tr>
    </w:tbl>
    <w:p>
      <w:pPr>
        <w:pStyle w:val="Heading2"/>
      </w:pPr>
      <w:r>
        <w:t>2.4  支付回调验签、状态机与幂等</w:t>
      </w:r>
    </w:p>
    <w:p>
      <w:r>
        <w:rPr>
          <w:b/>
          <w:color w:val="17365D"/>
        </w:rPr>
        <w:t>难点：</w:t>
      </w:r>
      <w:r>
        <w:t>支付回调是无 JWT 的公开入口，需要同时抵御伪造、篡改、重放、重复或并发事件，并保证订单、余额、流水和审计记录的一致性。</w:t>
      </w:r>
    </w:p>
    <w:p>
      <w:r>
        <w:rPr>
          <w:b/>
          <w:color w:val="17365D"/>
        </w:rPr>
        <w:t>解决思路：</w:t>
      </w:r>
      <w:r/>
    </w:p>
    <w:p>
      <w:pPr>
        <w:spacing w:after="160" w:line="280" w:lineRule="auto"/>
        <w:numPr>
          <w:ilvl w:val="0"/>
          <w:numId w:val="10"/>
        </w:numPr>
      </w:pPr>
      <w:r>
        <w:t>使用 HMAC-SHA256(secret, timestamp + '.' + rawBody) 对原始字节验签，并限制时间窗口与请求体大小。</w:t>
      </w:r>
    </w:p>
    <w:p>
      <w:pPr>
        <w:spacing w:after="160" w:line="280" w:lineRule="auto"/>
        <w:numPr>
          <w:ilvl w:val="0"/>
          <w:numId w:val="10"/>
        </w:numPr>
      </w:pPr>
      <w:r>
        <w:t>订单只允许 PENDING 向 SUCCESS、FAILED 或 CLOSED 迁移，终态不可回退。</w:t>
      </w:r>
    </w:p>
    <w:p>
      <w:pPr>
        <w:spacing w:after="160" w:line="280" w:lineRule="auto"/>
        <w:numPr>
          <w:ilvl w:val="0"/>
          <w:numId w:val="10"/>
        </w:numPr>
      </w:pPr>
      <w:r>
        <w:t>provider_event_id、business_no、recharge_order_id 和平台交易号形成多层唯一约束。</w:t>
      </w:r>
    </w:p>
    <w:p>
      <w:pPr>
        <w:spacing w:after="160" w:line="280" w:lineRule="auto"/>
        <w:numPr>
          <w:ilvl w:val="0"/>
          <w:numId w:val="10"/>
        </w:numPr>
      </w:pPr>
      <w:r>
        <w:t>成功处理在一个事务内完成订单更新、余额增加、充值流水和回调审计；重复事件返回幂等结果，载荷冲突明确拒绝。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4F8FB"/>
          <w:left w:val="single" w:sz="0" w:space="0" w:color="F4F8FB"/>
          <w:bottom w:val="single" w:sz="0" w:space="0" w:color="F4F8FB"/>
          <w:right w:val="single" w:sz="0" w:space="0" w:color="F4F8FB"/>
          <w:insideH w:val="single" w:sz="0" w:space="0" w:color="F4F8FB"/>
          <w:insideV w:val="single" w:sz="0" w:space="0" w:color="F4F8FB"/>
        </w:tblBorders>
      </w:tblPr>
      <w:tblGrid>
        <w:gridCol w:w="115"/>
        <w:gridCol w:w="9245"/>
      </w:tblGrid>
      <w:tr>
        <w:trPr>
          <w:cantSplit/>
        </w:trPr>
        <w:tc>
          <w:tcPr>
            <w:tcW w:type="dxa" w:w="115"/>
            <w:shd w:fill="2E74B5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9245"/>
            <w:shd w:fill="F4F8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Callout"/>
              <w:spacing w:before="0" w:after="0"/>
              <w:ind w:left="0" w:right="0"/>
            </w:pPr>
            <w:r>
              <w:t>结果：模拟支付虽不连接真实渠道，但已验证真实支付接入所需的核心安全边界与一致性模型。</w:t>
            </w:r>
          </w:p>
        </w:tc>
      </w:tr>
    </w:tbl>
    <w:p>
      <w:pPr>
        <w:pStyle w:val="Heading1"/>
        <w:pageBreakBefore/>
      </w:pPr>
      <w:r>
        <w:t>3  优化点说明</w:t>
      </w:r>
    </w:p>
    <w:p>
      <w:pPr>
        <w:pStyle w:val="BodyLead"/>
      </w:pPr>
      <w:r>
        <w:t>Sprint 3 的目标不是继续增加业务功能，而是对前两个 Sprint 的实现进行工程化完善。优化覆盖接口契约、非法输入防护、异常兜底、核心 SQL、日志和代码结构，并以自动化测试与可复现实验确认行为未发生回退。</w:t>
      </w:r>
    </w:p>
    <w:p>
      <w:pPr>
        <w:pStyle w:val="Heading2"/>
      </w:pPr>
      <w:r>
        <w:t>3.1  统一返回、错误码与全局异常</w:t>
      </w:r>
    </w:p>
    <w:p>
      <w:pPr>
        <w:spacing w:after="160" w:line="280" w:lineRule="auto"/>
        <w:numPr>
          <w:ilvl w:val="0"/>
          <w:numId w:val="10"/>
        </w:numPr>
      </w:pPr>
      <w:r>
        <w:t>业务接口统一返回 ApiResponse&lt;T&gt; 或 ResponseEntity&lt;ApiResponse&lt;T&gt;&gt;；分页数据使用 PageResponse&lt;T&gt;。</w:t>
      </w:r>
    </w:p>
    <w:p>
      <w:pPr>
        <w:spacing w:after="160" w:line="280" w:lineRule="auto"/>
        <w:numPr>
          <w:ilvl w:val="0"/>
          <w:numId w:val="10"/>
        </w:numPr>
      </w:pPr>
      <w:r>
        <w:t>响应固定包含 success、code、message、data、timestamp 和 requestId，便于客户端处理与问题追踪。</w:t>
      </w:r>
    </w:p>
    <w:p>
      <w:pPr>
        <w:spacing w:after="160" w:line="280" w:lineRule="auto"/>
        <w:numPr>
          <w:ilvl w:val="0"/>
          <w:numId w:val="10"/>
        </w:numPr>
      </w:pPr>
      <w:r>
        <w:t>公共错误码使用 COMMON_ 前缀，业务错误码使用所属模块前缀；契约测试检查全局唯一性、命名格式和 HTTP 状态映射。</w:t>
      </w:r>
    </w:p>
    <w:p>
      <w:pPr>
        <w:spacing w:after="160" w:line="280" w:lineRule="auto"/>
        <w:numPr>
          <w:ilvl w:val="0"/>
          <w:numId w:val="10"/>
        </w:numPr>
      </w:pPr>
      <w:r>
        <w:t>全局异常处理覆盖 Bean Validation、参数绑定、类型转换、非法 JSON、方法/媒体类型错误、数据库冲突和未知异常；401/403 保持相同 JSON 契约。</w:t>
      </w:r>
    </w:p>
    <w:p>
      <w:pPr>
        <w:pStyle w:val="Heading2"/>
      </w:pPr>
      <w:r>
        <w:t>3.2  参数校验与非法输入防护</w:t>
      </w:r>
    </w:p>
    <w:p>
      <w:r>
        <w:t>校验按 DTO、Service、数据库三层布置：DTO 负责必填、长度、格式、范围和金额精度；Service 负责跨字段、状态迁移与跨实体关系；数据库负责并发和绕过应用场景。局部更新先合并旧值再验证完整业务关系，避免只验证本次提交字段而留下非法状态。</w:t>
      </w:r>
    </w:p>
    <w:p>
      <w:pPr>
        <w:pStyle w:val="Heading2"/>
      </w:pPr>
      <w:r>
        <w:t>3.3  核心接口性能优化</w:t>
      </w:r>
    </w:p>
    <w:p>
      <w:r>
        <w:t>性能优化使用 PostgreSQL 16、500,000 条固定投放记录和相同查询参数，通过 EXPLAIN (ANALYZE, BUFFERS) 比较前后执行计划。优化只针对已确认的查询模式，不引入缓存，也不改变接口结果。</w:t>
      </w:r>
    </w:p>
    <w:p>
      <w:pPr>
        <w:pStyle w:val="Caption"/>
        <w:keepNext/>
        <w:pageBreakBefore/>
      </w:pPr>
      <w:r>
        <w:t>表 2  核心查询优化前后对比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W w:w="936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5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测试场景</w:t>
            </w:r>
          </w:p>
        </w:tc>
        <w:tc>
          <w:tcPr>
            <w:tcW w:type="dxa" w:w="2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优化前</w:t>
            </w:r>
          </w:p>
        </w:tc>
        <w:tc>
          <w:tcPr>
            <w:tcW w:type="dxa" w:w="2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优化后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改善</w:t>
            </w:r>
          </w:p>
        </w:tc>
      </w:tr>
      <w:tr>
        <w:trPr>
          <w:cantSplit/>
        </w:trPr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投放组合筛选分页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0.418 ms</w:t>
              <w:br/>
              <w:t>464 个共享缓冲页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0.191 ms</w:t>
              <w:br/>
              <w:t>27 个共享缓冲页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时间降低 54.3%</w:t>
              <w:br/>
              <w:t>缓冲页降低 94.2%</w:t>
            </w:r>
          </w:p>
        </w:tc>
      </w:tr>
      <w:tr>
        <w:trPr>
          <w:cantSplit/>
        </w:trPr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31 天趋势聚合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14.881 ms</w:t>
              <w:br/>
              <w:t>存在 Hash Join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12.061 ms</w:t>
              <w:br/>
              <w:t>移除无用 JOIN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时间降低 19.0%</w:t>
              <w:br/>
              <w:t>执行计划更直接</w:t>
            </w:r>
          </w:p>
        </w:tc>
      </w:tr>
    </w:tbl>
    <w:p>
      <w:pPr>
        <w:spacing w:after="0"/>
      </w:pPr>
    </w:p>
    <w:p>
      <w:pPr>
        <w:spacing w:after="160" w:line="280" w:lineRule="auto"/>
        <w:numPr>
          <w:ilvl w:val="0"/>
          <w:numId w:val="10"/>
        </w:numPr>
      </w:pPr>
      <w:r>
        <w:t>V11 新增 (advertiser_id, advertising_type_id, record_date DESC, id DESC) 组合索引，使高频组合筛选与稳定排序直接匹配索引。</w:t>
      </w:r>
    </w:p>
    <w:p>
      <w:pPr>
        <w:spacing w:after="160" w:line="280" w:lineRule="auto"/>
        <w:numPr>
          <w:ilvl w:val="0"/>
          <w:numId w:val="10"/>
        </w:numPr>
      </w:pPr>
      <w:r>
        <w:t>报表 SQL 在没有广告类型条件时不再 JOIN advertising_types，减少无效读取与 Hash Join。</w:t>
      </w:r>
    </w:p>
    <w:p>
      <w:pPr>
        <w:spacing w:after="160" w:line="280" w:lineRule="auto"/>
        <w:numPr>
          <w:ilvl w:val="0"/>
          <w:numId w:val="10"/>
        </w:numPr>
      </w:pPr>
      <w:r>
        <w:t>性能脚本在独立数据库执行，并用事务回滚测试数据和临时对象，保证实验可重复且不污染开发数据。</w:t>
      </w:r>
    </w:p>
    <w:p>
      <w:pPr>
        <w:pStyle w:val="Heading2"/>
      </w:pPr>
      <w:r>
        <w:t>3.4  日志体系与可维护性</w:t>
      </w:r>
    </w:p>
    <w:p>
      <w:pPr>
        <w:spacing w:after="160" w:line="280" w:lineRule="auto"/>
        <w:numPr>
          <w:ilvl w:val="0"/>
          <w:numId w:val="10"/>
        </w:numPr>
      </w:pPr>
      <w:r>
        <w:t>请求过滤器生成或接收经过长度与字符限制的 Request ID，记录方法、路径、状态和耗时。</w:t>
      </w:r>
    </w:p>
    <w:p>
      <w:pPr>
        <w:spacing w:after="160" w:line="280" w:lineRule="auto"/>
        <w:numPr>
          <w:ilvl w:val="0"/>
          <w:numId w:val="10"/>
        </w:numPr>
      </w:pPr>
      <w:r>
        <w:t>ERROR 用于未知异常与 5xx，WARN 用于权限拒绝、冲突与限流，INFO 用于请求完成和关键业务状态，常规参数错误使用 DEBUG。</w:t>
      </w:r>
    </w:p>
    <w:p>
      <w:pPr>
        <w:spacing w:after="160" w:line="280" w:lineRule="auto"/>
        <w:numPr>
          <w:ilvl w:val="0"/>
          <w:numId w:val="10"/>
        </w:numPr>
      </w:pPr>
      <w:r>
        <w:t>日志不记录请求体、查询参数、Authorization、密码、JWT、密钥、签名或原始支付载荷。</w:t>
      </w:r>
    </w:p>
    <w:p>
      <w:pPr>
        <w:spacing w:after="160" w:line="280" w:lineRule="auto"/>
        <w:numPr>
          <w:ilvl w:val="0"/>
          <w:numId w:val="10"/>
        </w:numPr>
      </w:pPr>
      <w:r>
        <w:t>支付订单号与平台交易号的格式、长度和规范化规则集中到 PaymentReferenceRules，减少 Controller 与 Service 的重复逻辑。</w:t>
      </w:r>
    </w:p>
    <w:p>
      <w:pPr>
        <w:spacing w:after="160" w:line="280" w:lineRule="auto"/>
        <w:numPr>
          <w:ilvl w:val="0"/>
          <w:numId w:val="10"/>
        </w:numPr>
      </w:pPr>
      <w:r>
        <w:t>保持按业务模块分包，复杂报表 SQL 放入 MyBatis XML，事务边界集中在 Service，使职责与变更影响范围更清晰。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4F8FB"/>
          <w:left w:val="single" w:sz="0" w:space="0" w:color="F4F8FB"/>
          <w:bottom w:val="single" w:sz="0" w:space="0" w:color="F4F8FB"/>
          <w:right w:val="single" w:sz="0" w:space="0" w:color="F4F8FB"/>
          <w:insideH w:val="single" w:sz="0" w:space="0" w:color="F4F8FB"/>
          <w:insideV w:val="single" w:sz="0" w:space="0" w:color="F4F8FB"/>
        </w:tblBorders>
      </w:tblPr>
      <w:tblGrid>
        <w:gridCol w:w="115"/>
        <w:gridCol w:w="9245"/>
      </w:tblGrid>
      <w:tr>
        <w:trPr>
          <w:cantSplit/>
        </w:trPr>
        <w:tc>
          <w:tcPr>
            <w:tcW w:type="dxa" w:w="115"/>
            <w:shd w:fill="2E74B5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9245"/>
            <w:shd w:fill="F4F8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Callout"/>
              <w:spacing w:before="0" w:after="0"/>
              <w:ind w:left="0" w:right="0"/>
            </w:pPr>
            <w:r>
              <w:t>验证结果：合并后的系统完成 420 项自动化回归，并通过容器启动、健康检查、OpenAPI、Flyway V11 与非 root 运行验证。</w:t>
            </w:r>
          </w:p>
        </w:tc>
      </w:tr>
    </w:tbl>
    <w:p>
      <w:pPr>
        <w:pStyle w:val="Heading1"/>
        <w:pageBreakBefore/>
      </w:pPr>
      <w:r>
        <w:t>4  项目亮点提炼</w:t>
      </w:r>
    </w:p>
    <w:p>
      <w:pPr>
        <w:pStyle w:val="BodyLead"/>
      </w:pPr>
      <w:r>
        <w:t>项目亮点不在接口数量，而在于将权限、统计、资金和回调等高风险规则落实到可执行的事务、SQL、数据库约束和自动化测试中。</w:t>
      </w:r>
    </w:p>
    <w:p>
      <w:pPr>
        <w:pStyle w:val="Caption"/>
        <w:keepNext/>
        <w:pageBreakBefore w:val="0"/>
      </w:pPr>
      <w:r>
        <w:t>表 3  项目亮点与实际价值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W w:w="936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200"/>
            <w:shd w:fill="F2F4F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项目亮点</w:t>
            </w:r>
          </w:p>
        </w:tc>
        <w:tc>
          <w:tcPr>
            <w:tcW w:type="dxa" w:w="3980"/>
            <w:shd w:fill="F2F4F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具体体现</w:t>
            </w:r>
          </w:p>
        </w:tc>
        <w:tc>
          <w:tcPr>
            <w:tcW w:type="dxa" w:w="3180"/>
            <w:shd w:fill="F2F4F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价值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业务规则分层保护</w:t>
            </w:r>
          </w:p>
        </w:tc>
        <w:tc>
          <w:tcPr>
            <w:tcW w:type="dxa" w:w="39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DTO 提前反馈、Service 统一业务规则、PostgreSQL 约束与触发器兜底</w:t>
            </w:r>
          </w:p>
        </w:tc>
        <w:tc>
          <w:tcPr>
            <w:tcW w:type="dxa" w:w="31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既改善接口体验，也能抵御并发、遗漏和绕过应用的非法写入。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资金链路可追踪</w:t>
            </w:r>
          </w:p>
        </w:tc>
        <w:tc>
          <w:tcPr>
            <w:tcW w:type="dxa" w:w="39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原子余额更新、不可变流水、唯一业务号、事务回滚与关联一致性</w:t>
            </w:r>
          </w:p>
        </w:tc>
        <w:tc>
          <w:tcPr>
            <w:tcW w:type="dxa" w:w="31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防止超扣和重复扣款，并可根据流水核对每次余额变化。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支付回调安全模型完整</w:t>
            </w:r>
          </w:p>
        </w:tc>
        <w:tc>
          <w:tcPr>
            <w:tcW w:type="dxa" w:w="39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原始字节 HMAC、时间窗口、载荷限制、状态机、事件幂等和拒绝审计</w:t>
            </w:r>
          </w:p>
        </w:tc>
        <w:tc>
          <w:tcPr>
            <w:tcW w:type="dxa" w:w="31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为未来接入真实支付渠道保留清晰且可验证的安全边界。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统计口径稳定</w:t>
            </w:r>
          </w:p>
        </w:tc>
        <w:tc>
          <w:tcPr>
            <w:tcW w:type="dxa" w:w="39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数据库聚合、零分母处理、白名单排序、物理分页和相同过滤条件 COUNT</w:t>
            </w:r>
          </w:p>
        </w:tc>
        <w:tc>
          <w:tcPr>
            <w:tcW w:type="dxa" w:w="31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避免指标口径漂移，确保总览、趋势和维度报表结果一致。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权限反映实时状态</w:t>
            </w:r>
          </w:p>
        </w:tc>
        <w:tc>
          <w:tcPr>
            <w:tcW w:type="dxa" w:w="39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JWT 验签后重新读取账号状态与角色，最后一个管理员受并发锁与数据库保护</w:t>
            </w:r>
          </w:p>
        </w:tc>
        <w:tc>
          <w:tcPr>
            <w:tcW w:type="dxa" w:w="31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Token 未过期也不能绕过账号禁用，系统不会丢失管理入口。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优化有证据可复现</w:t>
            </w:r>
          </w:p>
        </w:tc>
        <w:tc>
          <w:tcPr>
            <w:tcW w:type="dxa" w:w="39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50 万条固定数据、前后执行计划、组合索引和可回滚实验脚本</w:t>
            </w:r>
          </w:p>
        </w:tc>
        <w:tc>
          <w:tcPr>
            <w:tcW w:type="dxa" w:w="31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优化结论来自测量，不依赖主观判断，也不以缓存掩盖查询问题。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工程规范可防回归</w:t>
            </w:r>
          </w:p>
        </w:tc>
        <w:tc>
          <w:tcPr>
            <w:tcW w:type="dxa" w:w="39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错误码、响应类型、HTTP 状态、日志等级与敏感信息均有自动化检查</w:t>
            </w:r>
          </w:p>
        </w:tc>
        <w:tc>
          <w:tcPr>
            <w:tcW w:type="dxa" w:w="31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把代码规范转化为持续可执行的质量门槛。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项目可独立验证</w:t>
            </w:r>
          </w:p>
        </w:tc>
        <w:tc>
          <w:tcPr>
            <w:tcW w:type="dxa" w:w="39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Maven Wrapper、Flyway、Testcontainers、Dockerfile、Compose 与 420 项回归</w:t>
            </w:r>
          </w:p>
        </w:tc>
        <w:tc>
          <w:tcPr>
            <w:tcW w:type="dxa" w:w="31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降低环境差异，提高交接、复现和后续扩展效率。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4F8FB"/>
          <w:left w:val="single" w:sz="0" w:space="0" w:color="F4F8FB"/>
          <w:bottom w:val="single" w:sz="0" w:space="0" w:color="F4F8FB"/>
          <w:right w:val="single" w:sz="0" w:space="0" w:color="F4F8FB"/>
          <w:insideH w:val="single" w:sz="0" w:space="0" w:color="F4F8FB"/>
          <w:insideV w:val="single" w:sz="0" w:space="0" w:color="F4F8FB"/>
        </w:tblBorders>
      </w:tblPr>
      <w:tblGrid>
        <w:gridCol w:w="115"/>
        <w:gridCol w:w="9245"/>
      </w:tblGrid>
      <w:tr>
        <w:trPr>
          <w:cantSplit/>
        </w:trPr>
        <w:tc>
          <w:tcPr>
            <w:tcW w:type="dxa" w:w="115"/>
            <w:shd w:fill="2E74B5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9245"/>
            <w:shd w:fill="F4F8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Callout"/>
              <w:spacing w:before="0" w:after="0"/>
              <w:ind w:left="0" w:right="0"/>
            </w:pPr>
            <w:r>
              <w:t>总体特点：先保证业务正确性和数据一致性，再依据可复现证据进行性能与工程优化；技术选择围绕真实问题，不为展示复杂度而引入不必要组件。</w:t>
            </w:r>
          </w:p>
        </w:tc>
      </w:tr>
    </w:tbl>
    <w:p>
      <w:pPr>
        <w:pStyle w:val="Heading1"/>
        <w:pageBreakBefore/>
      </w:pPr>
      <w:r>
        <w:t>5  未来扩展方向</w:t>
      </w:r>
    </w:p>
    <w:p>
      <w:pPr>
        <w:pStyle w:val="BodyLead"/>
      </w:pPr>
      <w:r>
        <w:t>现有实现满足本次后端实习项目范围。后续扩展应沿用当前模块边界和一致性原则，优先补齐真实运行条件，再根据数据量、团队与负载证据决定是否引入分布式组件。</w:t>
      </w:r>
    </w:p>
    <w:p>
      <w:pPr>
        <w:pStyle w:val="Heading2"/>
      </w:pPr>
      <w:r>
        <w:t>5.1  认证、安全与审计</w:t>
      </w:r>
    </w:p>
    <w:p>
      <w:pPr>
        <w:spacing w:after="160" w:line="280" w:lineRule="auto"/>
        <w:numPr>
          <w:ilvl w:val="0"/>
          <w:numId w:val="10"/>
        </w:numPr>
      </w:pPr>
      <w:r>
        <w:t>将进程内认证限流迁移到 Redis 等共享存储，并在可信反向代理边界统一解析客户端地址。</w:t>
      </w:r>
    </w:p>
    <w:p>
      <w:pPr>
        <w:spacing w:after="160" w:line="280" w:lineRule="auto"/>
        <w:numPr>
          <w:ilvl w:val="0"/>
          <w:numId w:val="10"/>
        </w:numPr>
      </w:pPr>
      <w:r>
        <w:t>引入 Refresh Token 轮换、Token ID 撤销与签名密钥版本管理。</w:t>
      </w:r>
    </w:p>
    <w:p>
      <w:pPr>
        <w:spacing w:after="160" w:line="280" w:lineRule="auto"/>
        <w:numPr>
          <w:ilvl w:val="0"/>
          <w:numId w:val="10"/>
        </w:numPr>
      </w:pPr>
      <w:r>
        <w:t>增加管理操作审计，记录操作人、对象、变更前后摘要和 Request ID；对登录失败、权限拒绝和支付异常建立指标与告警。</w:t>
      </w:r>
    </w:p>
    <w:p>
      <w:pPr>
        <w:pStyle w:val="Heading2"/>
      </w:pPr>
      <w:r>
        <w:t>5.2  真实支付与资金运营</w:t>
      </w:r>
    </w:p>
    <w:p>
      <w:pPr>
        <w:spacing w:after="160" w:line="280" w:lineRule="auto"/>
        <w:numPr>
          <w:ilvl w:val="0"/>
          <w:numId w:val="10"/>
        </w:numPr>
      </w:pPr>
      <w:r>
        <w:t>在现有订单、回调接口和状态机后增加支付渠道适配器，使账户模块不依赖具体渠道 SDK。</w:t>
      </w:r>
    </w:p>
    <w:p>
      <w:pPr>
        <w:spacing w:after="160" w:line="280" w:lineRule="auto"/>
        <w:numPr>
          <w:ilvl w:val="0"/>
          <w:numId w:val="10"/>
        </w:numPr>
      </w:pPr>
      <w:r>
        <w:t>增加主动查单、退款、日终对账和差错处理，所有外部动作继续使用业务号与幂等键。</w:t>
      </w:r>
    </w:p>
    <w:p>
      <w:pPr>
        <w:spacing w:after="160" w:line="280" w:lineRule="auto"/>
        <w:numPr>
          <w:ilvl w:val="0"/>
          <w:numId w:val="10"/>
        </w:numPr>
      </w:pPr>
      <w:r>
        <w:t>跨系统可靠投递可采用 Outbox，再由异步任务发送，避免数据库事务与消息发送双写不一致。</w:t>
      </w:r>
    </w:p>
    <w:p>
      <w:pPr>
        <w:pStyle w:val="Heading2"/>
      </w:pPr>
      <w:r>
        <w:t>5.3  投放数据接入与报表规模化</w:t>
      </w:r>
    </w:p>
    <w:p>
      <w:pPr>
        <w:spacing w:after="160" w:line="280" w:lineRule="auto"/>
        <w:numPr>
          <w:ilvl w:val="0"/>
          <w:numId w:val="10"/>
        </w:numPr>
      </w:pPr>
      <w:r>
        <w:t>增加批量导入、文件校验、错误行报告、可重试任务和数据质量规则，以承接渠道级数据。</w:t>
      </w:r>
    </w:p>
    <w:p>
      <w:pPr>
        <w:spacing w:after="160" w:line="280" w:lineRule="auto"/>
        <w:numPr>
          <w:ilvl w:val="0"/>
          <w:numId w:val="10"/>
        </w:numPr>
      </w:pPr>
      <w:r>
        <w:t>数据增长后优先按业务日期分区，并依据慢查询证据选择预聚合表或物化视图。</w:t>
      </w:r>
    </w:p>
    <w:p>
      <w:pPr>
        <w:spacing w:after="160" w:line="280" w:lineRule="auto"/>
        <w:numPr>
          <w:ilvl w:val="0"/>
          <w:numId w:val="10"/>
        </w:numPr>
      </w:pPr>
      <w:r>
        <w:t>仅当分析负载明显影响交易库时，再通过 CDC 或批处理同步到独立分析存储。</w:t>
      </w:r>
    </w:p>
    <w:p>
      <w:pPr>
        <w:pStyle w:val="Heading2"/>
        <w:pageBreakBefore/>
      </w:pPr>
      <w:r>
        <w:t>5.4  工程交付与可观测性</w:t>
      </w:r>
    </w:p>
    <w:p>
      <w:pPr>
        <w:spacing w:after="160" w:line="280" w:lineRule="auto"/>
        <w:numPr>
          <w:ilvl w:val="0"/>
          <w:numId w:val="10"/>
        </w:numPr>
      </w:pPr>
      <w:r>
        <w:t>建立 CI 流水线，自动执行编译、完整回归、迁移测试、镜像构建和依赖安全检查。</w:t>
      </w:r>
    </w:p>
    <w:p>
      <w:pPr>
        <w:spacing w:after="160" w:line="280" w:lineRule="auto"/>
        <w:numPr>
          <w:ilvl w:val="0"/>
          <w:numId w:val="10"/>
        </w:numPr>
      </w:pPr>
      <w:r>
        <w:t>共享环境补充 TLS、外部 Secret、最小权限数据库账号、备份恢复演练和健康告警。</w:t>
      </w:r>
    </w:p>
    <w:p>
      <w:pPr>
        <w:spacing w:after="160" w:line="280" w:lineRule="auto"/>
        <w:numPr>
          <w:ilvl w:val="0"/>
          <w:numId w:val="10"/>
        </w:numPr>
      </w:pPr>
      <w:r>
        <w:t>接入结构化日志、指标与链路追踪，以 Request ID 关联接口、SQL 和外部调用。</w:t>
      </w:r>
    </w:p>
    <w:p>
      <w:pPr>
        <w:spacing w:after="160" w:line="280" w:lineRule="auto"/>
        <w:numPr>
          <w:ilvl w:val="0"/>
          <w:numId w:val="10"/>
        </w:numPr>
      </w:pPr>
      <w:r>
        <w:t>继续保持模块化单体；只有团队、部署频率或负载边界明确分离时，再评估拆分报表、数据接入或支付适配模块。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4F8FB"/>
          <w:left w:val="single" w:sz="0" w:space="0" w:color="F4F8FB"/>
          <w:bottom w:val="single" w:sz="0" w:space="0" w:color="F4F8FB"/>
          <w:right w:val="single" w:sz="0" w:space="0" w:color="F4F8FB"/>
          <w:insideH w:val="single" w:sz="0" w:space="0" w:color="F4F8FB"/>
          <w:insideV w:val="single" w:sz="0" w:space="0" w:color="F4F8FB"/>
        </w:tblBorders>
      </w:tblPr>
      <w:tblGrid>
        <w:gridCol w:w="115"/>
        <w:gridCol w:w="9245"/>
      </w:tblGrid>
      <w:tr>
        <w:trPr>
          <w:cantSplit/>
        </w:trPr>
        <w:tc>
          <w:tcPr>
            <w:tcW w:type="dxa" w:w="115"/>
            <w:shd w:fill="2E74B5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9245"/>
            <w:shd w:fill="F4F8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Callout"/>
              <w:spacing w:before="0" w:after="0"/>
              <w:ind w:left="0" w:right="0"/>
            </w:pPr>
            <w:r>
              <w:t>最终结论：三个 Sprint 已完成从管理基础、业务闭环到工程化完善的完整开发过程。系统当前具备清晰架构、可验证业务规则、可追踪资金链路、可复现性能优化与持续扩展基础。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Segoe UI Symbol" w:hAnsi="Segoe UI 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Lead">
    <w:name w:val="Body Lead"/>
    <w:pPr>
      <w:spacing w:after="200" w:line="288" w:lineRule="auto"/>
    </w:pPr>
    <w:rPr>
      <w:rFonts w:ascii="Calibri" w:hAnsi="Calibri" w:eastAsia="Microsoft YaHei"/>
      <w:color w:val="17365D"/>
      <w:sz w:val="24"/>
    </w:rPr>
  </w:style>
  <w:style w:type="paragraph" w:customStyle="1" w:styleId="Callout">
    <w:name w:val="Callout"/>
    <w:pPr>
      <w:spacing w:before="140" w:after="180" w:line="276" w:lineRule="auto"/>
      <w:ind w:left="259" w:right="173"/>
    </w:pPr>
    <w:rPr>
      <w:rFonts w:ascii="Calibri" w:hAnsi="Calibri" w:eastAsia="Microsoft YaHei"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Advertiser CRM 后端系统总结与优化报告</dc:title>
  <dc:subject>Sprint 1 至 Sprint 3 系统架构、技术难点、优化、亮点与扩展方向</dc:subject>
  <dc:creator>Advertiser CRM Project</dc:creator>
  <cp:keywords>Advertiser CRM, Spring Boot, Sprint, 系统总结, 优化报告</cp:keywords>
  <dc:description>Final DOCX deliverable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