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図形が多数含まれるテストドキュメント</w:t>
      </w:r>
    </w:p>
    <w:p>
      <w:r>
        <w:t>InlineShape および浮動テキストボックスを含む。</w:t>
      </w:r>
    </w:p>
    <w:p>
      <w:pPr>
        <w:pStyle w:val="Heading2"/>
      </w:pPr>
      <w:r>
        <w:t>フロー図</w:t>
      </w:r>
    </w:p>
    <w:p>
      <w:r>
        <w:t>以下にフロー図を示す。</w:t>
      </w:r>
    </w:p>
    <w:p>
      <w:r>
        <w:drawing>
          <wp:inline xmlns:a="http://schemas.openxmlformats.org/drawingml/2006/main" xmlns:pic="http://schemas.openxmlformats.org/drawingml/2006/picture">
            <wp:extent cx="1645920" cy="411480"/>
            <wp:docPr id="1" name="Picture 1" descr="フロー図ステップ: 開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5920" cy="411480"/>
            <wp:docPr id="2" name="Picture 2" descr="フロー図ステップ: 入力チェッ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5920" cy="411480"/>
            <wp:docPr id="3" name="Picture 3" descr="フロー図ステップ: データ変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5920" cy="411480"/>
            <wp:docPr id="4" name="Picture 4" descr="フロー図ステップ: バリデーショ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5920" cy="411480"/>
            <wp:docPr id="5" name="Picture 5" descr="フロー図ステップ: DB登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5920" cy="411480"/>
            <wp:docPr id="6" name="Picture 6" descr="フロー図ステップ: 結果通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45920" cy="411480"/>
            <wp:docPr id="7" name="Picture 7" descr="フロー図ステップ: 終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↓ の矢印で接続</w:t>
      </w:r>
    </w:p>
    <w:p>
      <w:pPr>
        <w:pStyle w:val="Heading2"/>
      </w:pPr>
      <w:r>
        <w:t>テキストボックス群</w:t>
      </w:r>
    </w:p>
    <w:p>
      <w:r>
        <w:pict>
          <v:shape style="position:absolute;left:0pt;top:0pt;width:150pt;height:40pt" type="#_x0000_t202" fillcolor="#dce6f1" strokecolor="#4472c4">
            <v:textbox>
              <w:txbxContent>
                <w:p>
                  <w:r>
                    <w:t>処理A: データ取得</w:t>
                  </w:r>
                </w:p>
              </w:txbxContent>
            </v:textbox>
          </v:shape>
        </w:pict>
      </w:r>
    </w:p>
    <w:p>
      <w:r>
        <w:pict>
          <v:shape style="position:absolute;left:20pt;top:10pt;width:150pt;height:40pt" type="#_x0000_t202" fillcolor="#dce6f1" strokecolor="#4472c4">
            <v:textbox>
              <w:txbxContent>
                <w:p>
                  <w:r>
                    <w:t>処理B: 変換処理</w:t>
                  </w:r>
                </w:p>
              </w:txbxContent>
            </v:textbox>
          </v:shape>
        </w:pict>
      </w:r>
    </w:p>
    <w:p>
      <w:r>
        <w:pict>
          <v:shape style="position:absolute;left:41pt;top:20pt;width:150pt;height:40pt" type="#_x0000_t202" fillcolor="#dce6f1" strokecolor="#4472c4">
            <v:textbox>
              <w:txbxContent>
                <w:p>
                  <w:r>
                    <w:t>処理C: 出力処理</w:t>
                  </w:r>
                </w:p>
              </w:txbxContent>
            </v:textbox>
          </v:shape>
        </w:pict>
      </w:r>
    </w:p>
    <w:p>
      <w:r>
        <w:pict>
          <v:shape style="position:absolute;left:62pt;top:31pt;width:150pt;height:40pt" type="#_x0000_t202" fillcolor="#dce6f1" strokecolor="#4472c4">
            <v:textbox>
              <w:txbxContent>
                <w:p>
                  <w:r>
                    <w:t>判定: エラー有無</w:t>
                  </w:r>
                </w:p>
              </w:txbxContent>
            </v:textbox>
          </v:shape>
        </w:pict>
      </w:r>
    </w:p>
    <w:p>
      <w:r>
        <w:pict>
          <v:shape style="position:absolute;left:83pt;top:41pt;width:150pt;height:40pt" type="#_x0000_t202" fillcolor="#dce6f1" strokecolor="#4472c4">
            <v:textbox>
              <w:txbxContent>
                <w:p>
                  <w:r>
                    <w:t>処理D: エラーハンドリング</w:t>
                  </w:r>
                </w:p>
              </w:txbxContent>
            </v:textbox>
          </v:shape>
        </w:pict>
      </w:r>
    </w:p>
    <w:p>
      <w:r>
        <w:pict>
          <v:shape style="position:absolute;left:104pt;top:52pt;width:150pt;height:40pt" type="#_x0000_t202" fillcolor="#dce6f1" strokecolor="#4472c4">
            <v:textbox>
              <w:txbxContent>
                <w:p>
                  <w:r>
                    <w:t>処理E: ログ出力</w:t>
                  </w:r>
                </w:p>
              </w:txbxContent>
            </v:textbox>
          </v:shape>
        </w:pict>
      </w:r>
    </w:p>
    <w:p>
      <w:pPr>
        <w:pStyle w:val="Heading2"/>
      </w:pPr>
      <w:r>
        <w:t>VML 図形</w:t>
      </w:r>
    </w:p>
    <w:p>
      <w:r>
        <w:t>以下は VML 形式の図形を含むセクション。</w:t>
      </w:r>
    </w:p>
    <w:p>
      <w:r>
        <w:pict>
          <v:shape style="width:100pt;height:40pt" type="#_x0000_t202">
            <v:textbox>
              <w:txbxContent>
                <w:p>
                  <w:r>
                    <w:t>入力</w:t>
                  </w:r>
                </w:p>
              </w:txbxContent>
            </v:textbox>
          </v:shape>
        </w:pict>
      </w:r>
    </w:p>
    <w:p>
      <w:r>
        <w:pict>
          <v:shape style="width:100pt;height:40pt" type="#_x0000_t202">
            <v:textbox>
              <w:txbxContent>
                <w:p>
                  <w:r>
                    <w:t>処理</w:t>
                  </w:r>
                </w:p>
              </w:txbxContent>
            </v:textbox>
          </v:shape>
        </w:pict>
      </w:r>
    </w:p>
    <w:p>
      <w:r>
        <w:pict>
          <v:shape style="width:100pt;height:40pt" type="#_x0000_t202">
            <v:textbox>
              <w:txbxContent>
                <w:p>
                  <w:r>
                    <w:t>出力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