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ワークフロー図（オブジェクト重ね置き）</w:t>
      </w:r>
    </w:p>
    <w:p>
      <w:r>
        <w:t>矩形オブジェクトの上にテキストボックスを重ねたパターン。</w:t>
      </w:r>
    </w:p>
    <w:p>
      <w:pPr>
        <w:pStyle w:val="Heading2"/>
      </w:pPr>
      <w:r>
        <w:t>1. 承認フロー</w:t>
      </w:r>
    </w:p>
    <w:p>
      <w:r>
        <w:t>以下に承認フローを示す。</w:t>
      </w:r>
    </w:p>
    <w:p>
      <w:r>
        <w:pict>
          <v:rect style="position:absolute;left:0pt;top:0pt;width:120pt;height:50pt" fillcolor="#d9e2f3" strokecolor="#4472c4" strokeweight="1.5pt"/>
        </w:pict>
      </w:r>
    </w:p>
    <w:p>
      <w:r>
        <w:pict>
          <v:shape style="position:absolute;left:0pt;top:0pt;width:150pt;height:40pt" type="#_x0000_t202" fillcolor="#dce6f1" strokecolor="#4472c4">
            <v:textbox>
              <w:txbxContent>
                <w:p>
                  <w:r>
                    <w:t>申請者
申請書作成</w:t>
                  </w:r>
                </w:p>
              </w:txbxContent>
            </v:textbox>
          </v:shape>
        </w:pict>
      </w:r>
    </w:p>
    <w:p>
      <w:r>
        <w:pict>
          <v:rect style="position:absolute;left:200pt;top:0pt;width:120pt;height:50pt" fillcolor="#d9e2f3" strokecolor="#4472c4" strokeweight="1.5pt"/>
        </w:pict>
      </w:r>
    </w:p>
    <w:p>
      <w:r>
        <w:pict>
          <v:shape style="position:absolute;left:200pt;top:0pt;width:150pt;height:40pt" type="#_x0000_t202" fillcolor="#dce6f1" strokecolor="#4472c4">
            <v:textbox>
              <w:txbxContent>
                <w:p>
                  <w:r>
                    <w:t>上長
内容確認</w:t>
                  </w:r>
                </w:p>
              </w:txbxContent>
            </v:textbox>
          </v:shape>
        </w:pict>
      </w:r>
    </w:p>
    <w:p>
      <w:r>
        <w:pict>
          <v:rect style="position:absolute;left:400pt;top:0pt;width:120pt;height:50pt" fillcolor="#d9e2f3" strokecolor="#4472c4" strokeweight="1.5pt"/>
        </w:pict>
      </w:r>
    </w:p>
    <w:p>
      <w:r>
        <w:pict>
          <v:shape style="position:absolute;left:400pt;top:0pt;width:150pt;height:40pt" type="#_x0000_t202" fillcolor="#dce6f1" strokecolor="#4472c4">
            <v:textbox>
              <w:txbxContent>
                <w:p>
                  <w:r>
                    <w:t>部長
承認判断</w:t>
                  </w:r>
                </w:p>
              </w:txbxContent>
            </v:textbox>
          </v:shape>
        </w:pict>
      </w:r>
    </w:p>
    <w:p>
      <w:r>
        <w:pict>
          <v:rect style="position:absolute;left:600pt;top:0pt;width:120pt;height:50pt" fillcolor="#d9e2f3" strokecolor="#4472c4" strokeweight="1.5pt"/>
        </w:pict>
      </w:r>
    </w:p>
    <w:p>
      <w:r>
        <w:pict>
          <v:shape style="position:absolute;left:600pt;top:0pt;width:150pt;height:40pt" type="#_x0000_t202" fillcolor="#dce6f1" strokecolor="#4472c4">
            <v:textbox>
              <w:txbxContent>
                <w:p>
                  <w:r>
                    <w:t>経理
処理実行</w:t>
                  </w:r>
                </w:p>
              </w:txbxContent>
            </v:textbox>
          </v:shape>
        </w:pict>
      </w:r>
    </w:p>
    <w:p>
      <w:r>
        <w:pict>
          <v:rect style="position:absolute;left:800pt;top:0pt;width:120pt;height:50pt" fillcolor="#d9e2f3" strokecolor="#4472c4" strokeweight="1.5pt"/>
        </w:pict>
      </w:r>
    </w:p>
    <w:p>
      <w:r>
        <w:pict>
          <v:shape style="position:absolute;left:800pt;top:0pt;width:150pt;height:40pt" type="#_x0000_t202" fillcolor="#dce6f1" strokecolor="#4472c4">
            <v:textbox>
              <w:txbxContent>
                <w:p>
                  <w:r>
                    <w:t>完了</w:t>
                  </w:r>
                </w:p>
              </w:txbxContent>
            </v:textbox>
          </v:shape>
        </w:pict>
      </w:r>
    </w:p>
    <w:p>
      <w:r>
        <w:t>→ → → → →</w:t>
      </w:r>
    </w:p>
    <w:p/>
    <w:p>
      <w:pPr>
        <w:pStyle w:val="Heading2"/>
      </w:pPr>
      <w:r>
        <w:t>2. エラーハンドリングフロー</w:t>
      </w:r>
    </w:p>
    <w:p>
      <w:r>
        <w:t>以下にエラーハンドリングフローを示す。</w:t>
      </w:r>
    </w:p>
    <w:p>
      <w:r>
        <w:pict>
          <v:rect style="position:absolute;left:0pt;top:0pt;width:130pt;height:50pt" fillcolor="#e8f5e9" strokecolor="#2e7d32" strokeweight="1.5pt"/>
        </w:pict>
      </w:r>
    </w:p>
    <w:p>
      <w:r>
        <w:pict>
          <v:shape style="position:absolute;left:0pt;top:0pt;width:150pt;height:40pt" type="#_x0000_t202" fillcolor="#dce6f1" strokecolor="#4472c4">
            <v:textbox>
              <w:txbxContent>
                <w:p>
                  <w:r>
                    <w:t>データ受信</w:t>
                  </w:r>
                </w:p>
              </w:txbxContent>
            </v:textbox>
          </v:shape>
        </w:pict>
      </w:r>
    </w:p>
    <w:p>
      <w:r>
        <w:pict>
          <v:rect style="position:absolute;left:200pt;top:0pt;width:130pt;height:50pt" fillcolor="#e8f5e9" strokecolor="#2e7d32" strokeweight="1.5pt"/>
        </w:pict>
      </w:r>
    </w:p>
    <w:p>
      <w:r>
        <w:pict>
          <v:shape style="position:absolute;left:200pt;top:0pt;width:150pt;height:40pt" type="#_x0000_t202" fillcolor="#dce6f1" strokecolor="#4472c4">
            <v:textbox>
              <w:txbxContent>
                <w:p>
                  <w:r>
                    <w:t>形式チェック</w:t>
                  </w:r>
                </w:p>
              </w:txbxContent>
            </v:textbox>
          </v:shape>
        </w:pict>
      </w:r>
    </w:p>
    <w:p>
      <w:r>
        <w:pict>
          <v:rect style="position:absolute;left:400pt;top:0pt;width:130pt;height:50pt" fillcolor="#fce4ec" strokecolor="#c62828" strokeweight="1.5pt"/>
        </w:pict>
      </w:r>
    </w:p>
    <w:p>
      <w:r>
        <w:pict>
          <v:shape style="position:absolute;left:400pt;top:0pt;width:150pt;height:40pt" type="#_x0000_t202" fillcolor="#dce6f1" strokecolor="#4472c4">
            <v:textbox>
              <w:txbxContent>
                <w:p>
                  <w:r>
                    <w:t>判定:
エラー有無</w:t>
                  </w:r>
                </w:p>
              </w:txbxContent>
            </v:textbox>
          </v:shape>
        </w:pict>
      </w:r>
    </w:p>
    <w:p>
      <w:r>
        <w:pict>
          <v:rect style="position:absolute;left:600pt;top:0pt;width:130pt;height:50pt" fillcolor="#e8f5e9" strokecolor="#2e7d32" strokeweight="1.5pt"/>
        </w:pict>
      </w:r>
    </w:p>
    <w:p>
      <w:r>
        <w:pict>
          <v:shape style="position:absolute;left:600pt;top:0pt;width:150pt;height:40pt" type="#_x0000_t202" fillcolor="#dce6f1" strokecolor="#4472c4">
            <v:textbox>
              <w:txbxContent>
                <w:p>
                  <w:r>
                    <w:t>DB登録</w:t>
                  </w:r>
                </w:p>
              </w:txbxContent>
            </v:textbox>
          </v:shape>
        </w:pict>
      </w:r>
    </w:p>
    <w:p>
      <w:r>
        <w:pict>
          <v:rect style="position:absolute;left:800pt;top:0pt;width:130pt;height:50pt" fillcolor="#e8f5e9" strokecolor="#2e7d32" strokeweight="1.5pt"/>
        </w:pict>
      </w:r>
    </w:p>
    <w:p>
      <w:r>
        <w:pict>
          <v:shape style="position:absolute;left:800pt;top:0pt;width:150pt;height:40pt" type="#_x0000_t202" fillcolor="#dce6f1" strokecolor="#4472c4">
            <v:textbox>
              <w:txbxContent>
                <w:p>
                  <w:r>
                    <w:t>完了通知</w:t>
                  </w:r>
                </w:p>
              </w:txbxContent>
            </v:textbox>
          </v:shape>
        </w:pict>
      </w:r>
    </w:p>
    <w:p>
      <w:r>
        <w:pict>
          <v:rect style="position:absolute;left:400pt;top:80pt;width:130pt;height:50pt" fillcolor="#e8f5e9" strokecolor="#2e7d32" strokeweight="1.5pt"/>
        </w:pict>
      </w:r>
    </w:p>
    <w:p>
      <w:r>
        <w:pict>
          <v:shape style="position:absolute;left:400pt;top:80pt;width:150pt;height:40pt" type="#_x0000_t202" fillcolor="#dce6f1" strokecolor="#4472c4">
            <v:textbox>
              <w:txbxContent>
                <w:p>
                  <w:r>
                    <w:t>エラーログ
出力</w:t>
                  </w:r>
                </w:p>
              </w:txbxContent>
            </v:textbox>
          </v:shape>
        </w:pict>
      </w:r>
    </w:p>
    <w:p>
      <w:r>
        <w:pict>
          <v:rect style="position:absolute;left:600pt;top:80pt;width:130pt;height:50pt" fillcolor="#e8f5e9" strokecolor="#2e7d32" strokeweight="1.5pt"/>
        </w:pict>
      </w:r>
    </w:p>
    <w:p>
      <w:r>
        <w:pict>
          <v:shape style="position:absolute;left:600pt;top:80pt;width:150pt;height:40pt" type="#_x0000_t202" fillcolor="#dce6f1" strokecolor="#4472c4">
            <v:textbox>
              <w:txbxContent>
                <w:p>
                  <w:r>
                    <w:t>管理者通知</w:t>
                  </w:r>
                </w:p>
              </w:txbxContent>
            </v:textbox>
          </v:shape>
        </w:pict>
      </w:r>
    </w:p>
    <w:p>
      <w:r>
        <w:pict>
          <v:rect style="position:absolute;left:800pt;top:80pt;width:130pt;height:50pt" fillcolor="#e8f5e9" strokecolor="#2e7d32" strokeweight="1.5pt"/>
        </w:pict>
      </w:r>
    </w:p>
    <w:p>
      <w:r>
        <w:pict>
          <v:shape style="position:absolute;left:800pt;top:80pt;width:150pt;height:40pt" type="#_x0000_t202" fillcolor="#dce6f1" strokecolor="#4472c4">
            <v:textbox>
              <w:txbxContent>
                <w:p>
                  <w:r>
                    <w:t>リトライ待ち</w:t>
                  </w:r>
                </w:p>
              </w:txbxContent>
            </v:textbox>
          </v:shape>
        </w:pict>
      </w:r>
    </w:p>
    <w:p>
      <w:r>
        <w:t>正常系: → → → →</w:t>
      </w:r>
    </w:p>
    <w:p>
      <w:r>
        <w:t>エラー系: ↓ → → →</w:t>
      </w:r>
    </w:p>
    <w:p/>
    <w:p>
      <w:pPr>
        <w:pStyle w:val="Heading2"/>
      </w:pPr>
      <w:r>
        <w:t>3. テキストボックスのみのフロー</w:t>
      </w:r>
    </w:p>
    <w:p>
      <w:r>
        <w:t>矩形なし、テキストボックスだけで構成されたフロー。</w:t>
      </w:r>
    </w:p>
    <w:p>
      <w:r>
        <w:pict>
          <v:shape style="position:absolute;left:0pt;top:0pt;width:150pt;height:40pt" type="#_x0000_t202" fillcolor="#dce6f1" strokecolor="#4472c4">
            <v:textbox>
              <w:txbxContent>
                <w:p>
                  <w:r>
                    <w:t>受付登録</w:t>
                  </w:r>
                </w:p>
              </w:txbxContent>
            </v:textbox>
          </v:shape>
        </w:pict>
      </w:r>
    </w:p>
    <w:p>
      <w:r>
        <w:pict>
          <v:shape style="position:absolute;left:200pt;top:0pt;width:150pt;height:40pt" type="#_x0000_t202" fillcolor="#dce6f1" strokecolor="#4472c4">
            <v:textbox>
              <w:txbxContent>
                <w:p>
                  <w:r>
                    <w:t>データ検証</w:t>
                  </w:r>
                </w:p>
              </w:txbxContent>
            </v:textbox>
          </v:shape>
        </w:pict>
      </w:r>
    </w:p>
    <w:p>
      <w:r>
        <w:pict>
          <v:shape style="position:absolute;left:400pt;top:0pt;width:150pt;height:40pt" type="#_x0000_t202" fillcolor="#dce6f1" strokecolor="#4472c4">
            <v:textbox>
              <w:txbxContent>
                <w:p>
                  <w:r>
                    <w:t>変換処理</w:t>
                  </w:r>
                </w:p>
              </w:txbxContent>
            </v:textbox>
          </v:shape>
        </w:pict>
      </w:r>
    </w:p>
    <w:p>
      <w:r>
        <w:pict>
          <v:shape style="position:absolute;left:600pt;top:0pt;width:150pt;height:40pt" type="#_x0000_t202" fillcolor="#dce6f1" strokecolor="#4472c4">
            <v:textbox>
              <w:txbxContent>
                <w:p>
                  <w:r>
                    <w:t>結果出力</w:t>
                  </w:r>
                </w:p>
              </w:txbxContent>
            </v:textbox>
          </v:shape>
        </w:pict>
      </w:r>
    </w:p>
    <w:p/>
    <w:p>
      <w:pPr>
        <w:pStyle w:val="Heading2"/>
      </w:pPr>
      <w:r>
        <w:t>4. 抽出上の課題</w:t>
      </w:r>
    </w:p>
    <w:p>
      <w:r>
        <w:t>上記のワークフロー図では、矩形オブジェクト（テキストなし）とテキストボックス（テキストあり）が同じ位置に重ねて配置されている。</w:t>
      </w:r>
    </w:p>
    <w:p>
      <w:r>
        <w:t>抽出器は矩形とテキストボックスを別々の要素として検出するため、両者の対応関係を位置情報から推定する必要がある。</w:t>
      </w:r>
    </w:p>
    <w:p>
      <w:r>
        <w:t>現状のパイプラインでは、テキストボックスのテキストは抽出できるが、テキストなし矩形はプレースホルダーとして出力される。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