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Evidence</w:t>
      </w:r>
    </w:p>
    <w:p>
      <w:r>
        <w:t>SHERPA-OOXML-WORD-481 is an original OOXML evidence marker.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Approved tax rate</w:t>
            </w:r>
          </w:p>
        </w:tc>
        <w:tc>
          <w:tcPr>
            <w:tcW w:type="dxa" w:w="4320"/>
          </w:tcPr>
          <w:p>
            <w:r>
              <w:t>12.5 percent</w:t>
            </w:r>
          </w:p>
        </w:tc>
      </w:tr>
      <w:tr>
        <w:tc>
          <w:tcPr>
            <w:tcW w:type="dxa" w:w="4320"/>
          </w:tcPr>
          <w:p>
            <w:r>
              <w:t>Approver</w:t>
            </w:r>
          </w:p>
        </w:tc>
        <w:tc>
          <w:tcPr>
            <w:tcW w:type="dxa" w:w="4320"/>
          </w:tcPr>
          <w:p>
            <w:r>
              <w:t>Hoshino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Sherpa UI Automation Word Evidence</dc:title>
  <dc:subject/>
  <dc:creator>Sherpa UI Automation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