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ポイント失効 基本設計書</w:t>
      </w:r>
    </w:p>
    <w:p>
      <w:pPr>
        <w:pStyle w:val="Heading1"/>
      </w:pPr>
      <w:r>
        <w:t>1. 失効判定</w:t>
      </w:r>
    </w:p>
    <w:p>
      <w:r>
        <w:t>失効判定は毎月 1 日の夜間処理で行う。有効期限を過ぎたポイントを失効させる。</w:t>
      </w:r>
    </w:p>
    <w:p>
      <w:pPr>
        <w:pStyle w:val="Heading1"/>
      </w:pPr>
      <w:r>
        <w:t>2. 事前通知</w:t>
      </w:r>
    </w:p>
    <w:p>
      <w:r>
        <w:t>失効の 30 日前までに会員へ通知する。通知の対象は、失効予定のポイントが 1 ポイント以上の会員とする。</w:t>
      </w:r>
    </w:p>
    <w:p>
      <w:pPr>
        <w:pStyle w:val="Heading1"/>
      </w:pPr>
      <w:r>
        <w:t>3. 例外</w:t>
      </w:r>
    </w:p>
    <w:p>
      <w:r>
        <w:t>退会した会員のポイントは、有効期限に関わらず退会日に失効する。</w:t>
      </w:r>
    </w:p>
    <w:p>
      <w:pPr>
        <w:pStyle w:val="Heading1"/>
      </w:pPr>
      <w:r>
        <w:t>4. 夜間処理</w:t>
      </w:r>
    </w:p>
    <w:p>
      <w:r>
        <w:t>夜間バッチ PTNITE は、付与（PTADD）の後に失効判定（PTEXP）を実行する。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ポイント失効 基本設計書</dc:title>
  <dc:subject/>
  <dc:creator>fixture</dc:creator>
  <cp:keywords/>
  <dc:description>generated by python-docx</dc:description>
  <cp:lastModifiedBy>fixture</cp:lastModifiedBy>
  <cp:revision>1</cp:revision>
  <dcterms:created xsi:type="dcterms:W3CDTF">2026-01-01T00:00:00Z</dcterms:created>
  <dcterms:modified xsi:type="dcterms:W3CDTF">2026-01-01T00:00:00Z</dcterms:modified>
  <cp:category/>
</cp:coreProperties>
</file>