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在庫引当 基本設計書</w:t>
      </w:r>
    </w:p>
    <w:p>
      <w:pPr>
        <w:pStyle w:val="Heading1"/>
      </w:pPr>
      <w:r>
        <w:t>1. 目的</w:t>
      </w:r>
    </w:p>
    <w:p>
      <w:r>
        <w:t>受注に対して倉庫内の在庫を引き当て、不足時は保留または欠品として扱う。</w:t>
      </w:r>
    </w:p>
    <w:p>
      <w:pPr>
        <w:pStyle w:val="Heading1"/>
      </w:pPr>
      <w:r>
        <w:t>2. 引当の単位</w:t>
      </w:r>
    </w:p>
    <w:p>
      <w:r>
        <w:t>引当は箱単位で行う。1 箱あたりの入数は在庫項目定義書の「入数」に従う。</w:t>
      </w:r>
    </w:p>
    <w:p>
      <w:pPr>
        <w:pStyle w:val="Heading1"/>
      </w:pPr>
      <w:r>
        <w:t>3. 不足時の扱い</w:t>
      </w:r>
    </w:p>
    <w:p>
      <w:r>
        <w:t>在庫が要求数に満たない場合は入荷待ちとして保留する。保留は 14 日を上限とし、超過分は欠品として受注元へ返す。</w:t>
      </w:r>
    </w:p>
    <w:p>
      <w:pPr>
        <w:pStyle w:val="Heading1"/>
      </w:pPr>
      <w:r>
        <w:t>4. 安全在庫の通知</w:t>
      </w:r>
    </w:p>
    <w:p>
      <w:r>
        <w:t>在庫数が安全在庫数以下になった時点で、発注担当へ通知する。安全在庫数は品目区分ごとに定める（在庫項目定義書の「安全在庫」シート）。</w:t>
      </w:r>
    </w:p>
    <w:p>
      <w:pPr>
        <w:pStyle w:val="Heading1"/>
      </w:pPr>
      <w:r>
        <w:t>5. 夜間処理</w:t>
      </w:r>
    </w:p>
    <w:p>
      <w:r>
        <w:t>夜間バッチ ZAINITE は、引当（ZAIHIKI）の後に安全在庫の確認（ZAICHK）を実行する。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品目区分</w:t>
            </w:r>
          </w:p>
        </w:tc>
        <w:tc>
          <w:tcPr>
            <w:tcW w:type="dxa" w:w="4320"/>
          </w:tcPr>
          <w:p>
            <w:r>
              <w:t>欠品時の通知先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営業部門長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発注担当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通知しない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在庫引当 基本設計書</dc:title>
  <dc:subject/>
  <dc:creator>fixture</dc:creator>
  <cp:keywords/>
  <dc:description>generated by python-docx</dc:description>
  <cp:lastModifiedBy>fixture</cp:lastModifiedBy>
  <cp:revision>1</cp:revision>
  <dcterms:created xsi:type="dcterms:W3CDTF">2026-01-01T00:00:00Z</dcterms:created>
  <dcterms:modified xsi:type="dcterms:W3CDTF">2026-01-01T00:00:00Z</dcterms:modified>
  <cp:category/>
</cp:coreProperties>
</file>