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03C6" w14:textId="2F468A0C" w:rsidR="00B372EE" w:rsidRDefault="00B372EE">
      <w:pPr>
        <w:spacing w:after="60"/>
        <w:rPr>
          <w:rFonts w:ascii="Aptos" w:hAnsi="Aptos"/>
          <w:b/>
          <w:bCs/>
          <w:sz w:val="44"/>
          <w:szCs w:val="44"/>
        </w:rPr>
      </w:pPr>
      <w:r>
        <w:rPr>
          <w:rFonts w:ascii="Aptos" w:hAnsi="Aptos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02AC5A7" wp14:editId="2C33C0B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23283" cy="544983"/>
            <wp:effectExtent l="0" t="0" r="5715" b="7620"/>
            <wp:wrapNone/>
            <wp:docPr id="151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0455" name="Picture 1512780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544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D84BB" w14:textId="77777777" w:rsidR="00B372EE" w:rsidRDefault="00B372EE">
      <w:pPr>
        <w:spacing w:after="60"/>
        <w:rPr>
          <w:rFonts w:ascii="Aptos" w:hAnsi="Aptos"/>
          <w:b/>
          <w:bCs/>
          <w:sz w:val="44"/>
          <w:szCs w:val="44"/>
        </w:rPr>
      </w:pPr>
    </w:p>
    <w:p w14:paraId="59DBC68F" w14:textId="3B37895D" w:rsidR="005E19F6" w:rsidRPr="00B372EE" w:rsidRDefault="00FF6A94">
      <w:pPr>
        <w:spacing w:after="60"/>
        <w:rPr>
          <w:rFonts w:ascii="Aptos" w:hAnsi="Aptos"/>
        </w:rPr>
      </w:pPr>
      <w:proofErr w:type="spellStart"/>
      <w:r w:rsidRPr="00B372EE">
        <w:rPr>
          <w:rFonts w:ascii="Aptos" w:hAnsi="Aptos"/>
          <w:b/>
          <w:bCs/>
          <w:sz w:val="44"/>
          <w:szCs w:val="44"/>
        </w:rPr>
        <w:t>Tuduans</w:t>
      </w:r>
      <w:proofErr w:type="spellEnd"/>
    </w:p>
    <w:p w14:paraId="5F5D48F8" w14:textId="77777777" w:rsidR="005E19F6" w:rsidRPr="00B372EE" w:rsidRDefault="00FF6A94">
      <w:pPr>
        <w:pBdr>
          <w:bottom w:val="single" w:sz="6" w:space="8" w:color="CCCCCC"/>
        </w:pBdr>
        <w:spacing w:after="320"/>
        <w:rPr>
          <w:rFonts w:ascii="Aptos" w:hAnsi="Aptos"/>
        </w:rPr>
      </w:pPr>
      <w:r w:rsidRPr="00B372EE">
        <w:rPr>
          <w:rFonts w:ascii="Aptos" w:hAnsi="Aptos"/>
          <w:i/>
          <w:iCs/>
          <w:color w:val="555555"/>
          <w:sz w:val="22"/>
          <w:szCs w:val="22"/>
        </w:rPr>
        <w:t>T</w:t>
      </w:r>
      <w:r w:rsidRPr="00B372EE">
        <w:rPr>
          <w:rFonts w:ascii="Aptos" w:hAnsi="Aptos"/>
          <w:i/>
          <w:iCs/>
          <w:color w:val="555555"/>
          <w:sz w:val="22"/>
          <w:szCs w:val="22"/>
        </w:rPr>
        <w:t>UDU Character Development &amp; Wiki</w:t>
      </w:r>
    </w:p>
    <w:p w14:paraId="18C536F3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1. Overview</w:t>
      </w:r>
    </w:p>
    <w:p w14:paraId="60D9CE7C" w14:textId="77777777" w:rsidR="005E19F6" w:rsidRPr="00B372EE" w:rsidRDefault="00FF6A94">
      <w:pPr>
        <w:spacing w:after="140"/>
        <w:rPr>
          <w:rFonts w:ascii="Aptos" w:hAnsi="Aptos"/>
        </w:rPr>
      </w:pP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humanoid alien mascots and fictional characters created by TUDU Entertainment Inc. as part of the company's branding, storytelling, and community engagement strategy. Designed to be friendly, curious, and approachable,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represent exploration, connection, and real-world discovery.</w:t>
      </w:r>
    </w:p>
    <w:p w14:paraId="1ED34C75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Originally introduced as a marketing concept,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have grown into a broader narrative and outreach tool — with the potential to anchor a full cartoon series, social media presence, merchandise line, and the face of the TUDU Kids Foundation.</w:t>
      </w:r>
    </w:p>
    <w:p w14:paraId="2B28DD14" w14:textId="77777777" w:rsidR="005E19F6" w:rsidRPr="00B372EE" w:rsidRDefault="00FF6A94">
      <w:pPr>
        <w:spacing w:before="120" w:after="60"/>
        <w:jc w:val="center"/>
        <w:rPr>
          <w:rFonts w:ascii="Aptos" w:hAnsi="Aptos"/>
        </w:rPr>
      </w:pPr>
      <w:r w:rsidRPr="00B372EE">
        <w:rPr>
          <w:rFonts w:ascii="Aptos" w:hAnsi="Aptos"/>
          <w:noProof/>
        </w:rPr>
        <w:drawing>
          <wp:inline distT="0" distB="0" distL="0" distR="0" wp14:anchorId="35597CCC" wp14:editId="45156E82">
            <wp:extent cx="6076950" cy="4057650"/>
            <wp:effectExtent l="0" t="0" r="0" b="0"/>
            <wp:docPr id="1005369933" name="Picture 100536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010F" w14:textId="77777777" w:rsidR="005E19F6" w:rsidRPr="00B372EE" w:rsidRDefault="00FF6A94">
      <w:pPr>
        <w:spacing w:after="200"/>
        <w:jc w:val="center"/>
        <w:rPr>
          <w:rFonts w:ascii="Aptos" w:hAnsi="Aptos"/>
        </w:rPr>
      </w:pPr>
      <w:r w:rsidRPr="00B372EE">
        <w:rPr>
          <w:rFonts w:ascii="Aptos" w:hAnsi="Aptos"/>
          <w:i/>
          <w:iCs/>
          <w:color w:val="666666"/>
          <w:sz w:val="18"/>
          <w:szCs w:val="18"/>
        </w:rPr>
        <w:t xml:space="preserve">The five </w:t>
      </w:r>
      <w:proofErr w:type="spellStart"/>
      <w:r w:rsidRPr="00B372EE">
        <w:rPr>
          <w:rFonts w:ascii="Aptos" w:hAnsi="Aptos"/>
          <w:i/>
          <w:iCs/>
          <w:color w:val="666666"/>
          <w:sz w:val="18"/>
          <w:szCs w:val="18"/>
        </w:rPr>
        <w:t>Tuduans</w:t>
      </w:r>
      <w:proofErr w:type="spellEnd"/>
      <w:r w:rsidRPr="00B372EE">
        <w:rPr>
          <w:rFonts w:ascii="Aptos" w:hAnsi="Aptos"/>
          <w:i/>
          <w:iCs/>
          <w:color w:val="666666"/>
          <w:sz w:val="18"/>
          <w:szCs w:val="18"/>
        </w:rPr>
        <w:t>: Lumi, Ember, Sol, Nova, and Axis</w:t>
      </w:r>
    </w:p>
    <w:p w14:paraId="36539084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2. Concept and Creation</w:t>
      </w:r>
    </w:p>
    <w:p w14:paraId="3EDBD94A" w14:textId="77777777" w:rsidR="005E19F6" w:rsidRPr="00B372EE" w:rsidRDefault="00FF6A94">
      <w:pPr>
        <w:spacing w:after="140"/>
        <w:rPr>
          <w:rFonts w:ascii="Aptos" w:hAnsi="Aptos"/>
        </w:rPr>
      </w:pP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were developed during the early design phase of the TUDU platform </w:t>
      </w:r>
      <w:proofErr w:type="gramStart"/>
      <w:r w:rsidRPr="00B372EE">
        <w:rPr>
          <w:rFonts w:ascii="Aptos" w:hAnsi="Aptos"/>
        </w:rPr>
        <w:t>as a way to</w:t>
      </w:r>
      <w:proofErr w:type="gramEnd"/>
      <w:r w:rsidRPr="00B372EE">
        <w:rPr>
          <w:rFonts w:ascii="Aptos" w:hAnsi="Aptos"/>
        </w:rPr>
        <w:t xml:space="preserve"> humanize the brand and reduce the perceived barrier between technology and real-world activity. The goal was a character concept that could appeal to both adults and children, while remaining flexible enough to grow alongside the platform.</w:t>
      </w:r>
    </w:p>
    <w:p w14:paraId="132BD4B6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lastRenderedPageBreak/>
        <w:t xml:space="preserve">Rather than acting as constant on-screen guides,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intentionally designed to appear sparingly within the TUDU ecosystem. This limited presence reinforces their role as rare observers and gentle nudges toward exploration, rather than intrusive mascots or assistants.</w:t>
      </w:r>
    </w:p>
    <w:p w14:paraId="138C0204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3. Fictional Description</w:t>
      </w:r>
    </w:p>
    <w:p w14:paraId="7D361A42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In the fictional universe associated with TUDU Entertainment,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described as:</w:t>
      </w:r>
    </w:p>
    <w:p w14:paraId="1F9A48C5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Humanoid alien beings</w:t>
      </w:r>
    </w:p>
    <w:p w14:paraId="7CE66B87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Naturally curious and exploratory</w:t>
      </w:r>
    </w:p>
    <w:p w14:paraId="2EB82290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Drawn to moments of shared experience and adventure</w:t>
      </w:r>
    </w:p>
    <w:p w14:paraId="6912C65A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Observers of human culture rather than rulers or invaders</w:t>
      </w:r>
    </w:p>
    <w:p w14:paraId="105054F2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Their design emphasizes soft features, expressive eyes, and a non-threatening silhouette, reinforcing approachability and emotional warmth. Each </w:t>
      </w:r>
      <w:proofErr w:type="spellStart"/>
      <w:r w:rsidRPr="00B372EE">
        <w:rPr>
          <w:rFonts w:ascii="Aptos" w:hAnsi="Aptos"/>
        </w:rPr>
        <w:t>Tuduan</w:t>
      </w:r>
      <w:proofErr w:type="spellEnd"/>
      <w:r w:rsidRPr="00B372EE">
        <w:rPr>
          <w:rFonts w:ascii="Aptos" w:hAnsi="Aptos"/>
        </w:rPr>
        <w:t xml:space="preserve"> carries its own color palette and visual motif, giving the group a distinct, collectible identity while remaining clearly part of one family.</w:t>
      </w:r>
    </w:p>
    <w:p w14:paraId="74D7911E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 xml:space="preserve">4. The Five </w:t>
      </w:r>
      <w:proofErr w:type="spellStart"/>
      <w:r w:rsidRPr="00B372EE">
        <w:rPr>
          <w:rFonts w:ascii="Aptos" w:hAnsi="Aptos"/>
        </w:rPr>
        <w:t>Tuduans</w:t>
      </w:r>
      <w:proofErr w:type="spellEnd"/>
    </w:p>
    <w:p w14:paraId="0CE71780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The current roster introduces five named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>, each with a distinct color, visual motif, and personality. These are early character directions — bios below are a first pass meant to be refined as the lore develops.</w:t>
      </w:r>
    </w:p>
    <w:p w14:paraId="187D36AF" w14:textId="77777777" w:rsidR="005E19F6" w:rsidRPr="00B372EE" w:rsidRDefault="00FF6A94">
      <w:pPr>
        <w:pStyle w:val="Heading2"/>
        <w:spacing w:before="220" w:after="100"/>
        <w:rPr>
          <w:rFonts w:ascii="Aptos" w:hAnsi="Aptos"/>
        </w:rPr>
      </w:pPr>
      <w:r w:rsidRPr="00B372EE">
        <w:rPr>
          <w:rFonts w:ascii="Aptos" w:hAnsi="Aptos"/>
        </w:rPr>
        <w:t>Sol — The Spark</w:t>
      </w:r>
    </w:p>
    <w:p w14:paraId="16A79F5C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  <w:i/>
          <w:iCs/>
        </w:rPr>
        <w:t>Color &amp; Motif: Red, warm-toned, sun-inspired.</w:t>
      </w:r>
    </w:p>
    <w:p w14:paraId="37994059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Sol is the group's bright, energetic center of gravity — the one who says "let's go" before anyone else has finished asking the question. Sol represents warmth, momentum, and the thrill of jumping into a new adventure without overthinking it.</w:t>
      </w:r>
    </w:p>
    <w:p w14:paraId="0D466B74" w14:textId="77777777" w:rsidR="005E19F6" w:rsidRPr="00B372EE" w:rsidRDefault="00FF6A94">
      <w:pPr>
        <w:pStyle w:val="Heading2"/>
        <w:spacing w:before="220" w:after="100"/>
        <w:rPr>
          <w:rFonts w:ascii="Aptos" w:hAnsi="Aptos"/>
        </w:rPr>
      </w:pPr>
      <w:r w:rsidRPr="00B372EE">
        <w:rPr>
          <w:rFonts w:ascii="Aptos" w:hAnsi="Aptos"/>
        </w:rPr>
        <w:t>Lumi — The Guide</w:t>
      </w:r>
    </w:p>
    <w:p w14:paraId="619501CD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  <w:i/>
          <w:iCs/>
        </w:rPr>
        <w:t>Color &amp; Motif: Light blue, soft and glowing.</w:t>
      </w:r>
    </w:p>
    <w:p w14:paraId="2C730C4F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Lumi is calm, gentle, and observant — the quiet voice that notices what others miss. Lumi represents clarity and light, often the one who helps a moment make sense or points the way forward without needing to lead loudly.</w:t>
      </w:r>
    </w:p>
    <w:p w14:paraId="54AC0FAF" w14:textId="77777777" w:rsidR="005E19F6" w:rsidRPr="00B372EE" w:rsidRDefault="00FF6A94">
      <w:pPr>
        <w:pStyle w:val="Heading2"/>
        <w:spacing w:before="220" w:after="100"/>
        <w:rPr>
          <w:rFonts w:ascii="Aptos" w:hAnsi="Aptos"/>
        </w:rPr>
      </w:pPr>
      <w:r w:rsidRPr="00B372EE">
        <w:rPr>
          <w:rFonts w:ascii="Aptos" w:hAnsi="Aptos"/>
        </w:rPr>
        <w:t>Ember — The Grower</w:t>
      </w:r>
    </w:p>
    <w:p w14:paraId="67E2965F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  <w:i/>
          <w:iCs/>
        </w:rPr>
        <w:t>Color &amp; Motif: Yellow-green gradient, nature-inspired.</w:t>
      </w:r>
    </w:p>
    <w:p w14:paraId="7AAFA6A1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Despite the name, Ember's palette leans toward growth rather than fire — playful, curious, and always drawn to the outdoors. Ember represents discovery in the natural world: trails, parks, water, and the small wonders found outside.</w:t>
      </w:r>
    </w:p>
    <w:p w14:paraId="3F9872D0" w14:textId="77777777" w:rsidR="005E19F6" w:rsidRPr="00B372EE" w:rsidRDefault="00FF6A94">
      <w:pPr>
        <w:pStyle w:val="Heading2"/>
        <w:spacing w:before="220" w:after="100"/>
        <w:rPr>
          <w:rFonts w:ascii="Aptos" w:hAnsi="Aptos"/>
        </w:rPr>
      </w:pPr>
      <w:r w:rsidRPr="00B372EE">
        <w:rPr>
          <w:rFonts w:ascii="Aptos" w:hAnsi="Aptos"/>
        </w:rPr>
        <w:t>Nova — The Dreamer</w:t>
      </w:r>
    </w:p>
    <w:p w14:paraId="56796702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  <w:i/>
          <w:iCs/>
        </w:rPr>
        <w:t>Color &amp; Motif: Deep navy with a starfield pattern.</w:t>
      </w:r>
    </w:p>
    <w:p w14:paraId="0A71A294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Nova is thoughtful and imaginative, associated with the night sky and big, ambitious dreams. Nova represents wonder and the pull toward the unknown — the character most likely to stare up at the stars and </w:t>
      </w:r>
      <w:proofErr w:type="gramStart"/>
      <w:r w:rsidRPr="00B372EE">
        <w:rPr>
          <w:rFonts w:ascii="Aptos" w:hAnsi="Aptos"/>
        </w:rPr>
        <w:t>ask</w:t>
      </w:r>
      <w:proofErr w:type="gramEnd"/>
      <w:r w:rsidRPr="00B372EE">
        <w:rPr>
          <w:rFonts w:ascii="Aptos" w:hAnsi="Aptos"/>
        </w:rPr>
        <w:t xml:space="preserve"> "what's out there?"</w:t>
      </w:r>
    </w:p>
    <w:p w14:paraId="4476BBFE" w14:textId="77777777" w:rsidR="005E19F6" w:rsidRPr="00B372EE" w:rsidRDefault="00FF6A94">
      <w:pPr>
        <w:pStyle w:val="Heading2"/>
        <w:spacing w:before="220" w:after="100"/>
        <w:rPr>
          <w:rFonts w:ascii="Aptos" w:hAnsi="Aptos"/>
        </w:rPr>
      </w:pPr>
      <w:r w:rsidRPr="00B372EE">
        <w:rPr>
          <w:rFonts w:ascii="Aptos" w:hAnsi="Aptos"/>
        </w:rPr>
        <w:t>Axis — The Steady One</w:t>
      </w:r>
    </w:p>
    <w:p w14:paraId="1A16C9E8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  <w:i/>
          <w:iCs/>
        </w:rPr>
        <w:t>Color &amp; Motif: Grey/silver with a frost and snowflake pattern.</w:t>
      </w:r>
    </w:p>
    <w:p w14:paraId="774C7975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Axis is grounded, dependable, and calm under pressure — the group's quiet center of balance, much like a planet's axis. Axis represents consistency and resilience, often associated with winter, ice, and remote, quiet places.</w:t>
      </w:r>
    </w:p>
    <w:p w14:paraId="4BDC75D7" w14:textId="77777777" w:rsidR="005E19F6" w:rsidRPr="00B372EE" w:rsidRDefault="00FF6A94">
      <w:pPr>
        <w:spacing w:before="120" w:after="60"/>
        <w:jc w:val="center"/>
        <w:rPr>
          <w:rFonts w:ascii="Aptos" w:hAnsi="Aptos"/>
        </w:rPr>
      </w:pPr>
      <w:r w:rsidRPr="00B372EE">
        <w:rPr>
          <w:rFonts w:ascii="Aptos" w:hAnsi="Aptos"/>
          <w:noProof/>
        </w:rPr>
        <w:drawing>
          <wp:inline distT="0" distB="0" distL="0" distR="0" wp14:anchorId="623D473E" wp14:editId="63E30371">
            <wp:extent cx="2876550" cy="4324350"/>
            <wp:effectExtent l="0" t="0" r="0" b="0"/>
            <wp:docPr id="1761230697" name="Picture 1761230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827" w14:textId="77777777" w:rsidR="005E19F6" w:rsidRPr="00B372EE" w:rsidRDefault="00FF6A94">
      <w:pPr>
        <w:spacing w:after="200"/>
        <w:jc w:val="center"/>
        <w:rPr>
          <w:rFonts w:ascii="Aptos" w:hAnsi="Aptos"/>
        </w:rPr>
      </w:pPr>
      <w:r w:rsidRPr="00B372EE">
        <w:rPr>
          <w:rFonts w:ascii="Aptos" w:hAnsi="Aptos"/>
          <w:i/>
          <w:iCs/>
          <w:color w:val="666666"/>
          <w:sz w:val="18"/>
          <w:szCs w:val="18"/>
        </w:rPr>
        <w:t>Axis — detailed character design, showing the frost/snowflake motif</w:t>
      </w:r>
    </w:p>
    <w:p w14:paraId="46F13235" w14:textId="77777777" w:rsidR="005E19F6" w:rsidRPr="00B372EE" w:rsidRDefault="00FF6A94">
      <w:pPr>
        <w:spacing w:before="120" w:after="60"/>
        <w:jc w:val="center"/>
        <w:rPr>
          <w:rFonts w:ascii="Aptos" w:hAnsi="Aptos"/>
        </w:rPr>
      </w:pPr>
      <w:r w:rsidRPr="00B372EE">
        <w:rPr>
          <w:rFonts w:ascii="Aptos" w:hAnsi="Aptos"/>
          <w:noProof/>
        </w:rPr>
        <w:drawing>
          <wp:inline distT="0" distB="0" distL="0" distR="0" wp14:anchorId="1707F1CD" wp14:editId="26D40098">
            <wp:extent cx="5438775" cy="3629025"/>
            <wp:effectExtent l="0" t="0" r="0" b="0"/>
            <wp:docPr id="1173439247" name="Picture 1173439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06A1" w14:textId="77777777" w:rsidR="005E19F6" w:rsidRPr="00B372EE" w:rsidRDefault="00FF6A94">
      <w:pPr>
        <w:spacing w:after="200"/>
        <w:jc w:val="center"/>
        <w:rPr>
          <w:rFonts w:ascii="Aptos" w:hAnsi="Aptos"/>
        </w:rPr>
      </w:pPr>
      <w:r w:rsidRPr="00B372EE">
        <w:rPr>
          <w:rFonts w:ascii="Aptos" w:hAnsi="Aptos"/>
          <w:i/>
          <w:iCs/>
          <w:color w:val="666666"/>
          <w:sz w:val="18"/>
          <w:szCs w:val="18"/>
        </w:rPr>
        <w:t>Ember, Sol, Nova, and Lumi — close-up character reference</w:t>
      </w:r>
    </w:p>
    <w:p w14:paraId="1DAB0D21" w14:textId="77777777" w:rsidR="005E19F6" w:rsidRPr="00B372EE" w:rsidRDefault="00FF6A94">
      <w:pPr>
        <w:spacing w:after="120"/>
        <w:ind w:left="360"/>
        <w:rPr>
          <w:rFonts w:ascii="Aptos" w:hAnsi="Aptos"/>
        </w:rPr>
      </w:pPr>
      <w:r w:rsidRPr="00B372EE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372EE">
        <w:rPr>
          <w:rFonts w:ascii="Aptos" w:hAnsi="Aptos"/>
          <w:i/>
          <w:iCs/>
          <w:highlight w:val="yellow"/>
        </w:rPr>
        <w:t>note</w:t>
      </w:r>
      <w:proofErr w:type="gramEnd"/>
      <w:r w:rsidRPr="00B372EE">
        <w:rPr>
          <w:rFonts w:ascii="Aptos" w:hAnsi="Aptos"/>
          <w:i/>
          <w:iCs/>
          <w:highlight w:val="yellow"/>
        </w:rPr>
        <w:t>: These are first-draft personalities based on color and visual motif alone. Recommend a dedicated lore session to lock in names-to-traits permanently, plus define relationships between characters (who's the leader, who bickers with whom, etc.) before scripting any video content.</w:t>
      </w:r>
    </w:p>
    <w:p w14:paraId="46237F22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5. Role Within the TUDU Platform</w:t>
      </w:r>
    </w:p>
    <w:p w14:paraId="5AD11484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Within the TUDU ecosystem,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function as:</w:t>
      </w:r>
    </w:p>
    <w:p w14:paraId="220CEBA4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Symbolic guides rather than constant UI elements</w:t>
      </w:r>
    </w:p>
    <w:p w14:paraId="64B8A454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Occasional visual markers tied to discovery, milestones, or special moments</w:t>
      </w:r>
    </w:p>
    <w:p w14:paraId="1A851BBC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Brand ambassadors representing curiosity and movement beyond digital spaces</w:t>
      </w:r>
    </w:p>
    <w:p w14:paraId="7F85C061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Their presence is deliberately restrained to avoid overwhelming users or turning the platform into a character-driven interface.</w:t>
      </w:r>
    </w:p>
    <w:p w14:paraId="49323536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6. TUDU Kids Foundation Involvement</w:t>
      </w:r>
    </w:p>
    <w:p w14:paraId="263028B8" w14:textId="77777777" w:rsidR="005E19F6" w:rsidRPr="00B372EE" w:rsidRDefault="00FF6A94">
      <w:pPr>
        <w:spacing w:after="140"/>
        <w:rPr>
          <w:rFonts w:ascii="Aptos" w:hAnsi="Aptos"/>
        </w:rPr>
      </w:pP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planned to play a central role in the TUDU Kids Foundation, helping underprivileged children experience real-world adventures and activities. In this context,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envisioned as:</w:t>
      </w:r>
    </w:p>
    <w:p w14:paraId="2096D4FE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Storytelling companions</w:t>
      </w:r>
    </w:p>
    <w:p w14:paraId="5575C5F3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Symbols of hope, exploration, and possibility</w:t>
      </w:r>
    </w:p>
    <w:p w14:paraId="2237E587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Characters that bridge entertainment with charitable outreach</w:t>
      </w:r>
    </w:p>
    <w:p w14:paraId="556D353F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This marks a shift from purely branding usage to narrative-driven social impact — the same five characters kids might recognize from a cartoon or a plushie could also be the ones welcoming them onto the Foundation bus.</w:t>
      </w:r>
    </w:p>
    <w:p w14:paraId="59A09D7C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7. Media &amp; Content Vision</w:t>
      </w:r>
    </w:p>
    <w:p w14:paraId="01C67199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The long-term vision for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extends well beyond a static mascot, into a full media presence:</w:t>
      </w:r>
    </w:p>
    <w:p w14:paraId="35009C00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A full YouTube cartoon series built around the five characters and their adventures.</w:t>
      </w:r>
    </w:p>
    <w:p w14:paraId="736D864A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 xml:space="preserve">Dedicated social media pages for the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>, separate from (but linked to) TUDU's main brand accounts.</w:t>
      </w:r>
    </w:p>
    <w:p w14:paraId="4BC5B101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as the recurring mascot presence for the TUDU Kids Foundation, appearing in tour content, signage, and materials.</w:t>
      </w:r>
    </w:p>
    <w:p w14:paraId="7A245165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Potential crossover content with TUDU Crew, tying the characters into real-world event coverage.</w:t>
      </w:r>
    </w:p>
    <w:p w14:paraId="5E538E52" w14:textId="77777777" w:rsidR="005E19F6" w:rsidRPr="00B372EE" w:rsidRDefault="00FF6A94">
      <w:pPr>
        <w:spacing w:after="120"/>
        <w:ind w:left="360"/>
        <w:rPr>
          <w:rFonts w:ascii="Aptos" w:hAnsi="Aptos"/>
        </w:rPr>
      </w:pPr>
      <w:r w:rsidRPr="00B372EE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372EE">
        <w:rPr>
          <w:rFonts w:ascii="Aptos" w:hAnsi="Aptos"/>
          <w:i/>
          <w:iCs/>
          <w:highlight w:val="yellow"/>
        </w:rPr>
        <w:t>note</w:t>
      </w:r>
      <w:proofErr w:type="gramEnd"/>
      <w:r w:rsidRPr="00B372EE">
        <w:rPr>
          <w:rFonts w:ascii="Aptos" w:hAnsi="Aptos"/>
          <w:i/>
          <w:iCs/>
          <w:highlight w:val="yellow"/>
        </w:rPr>
        <w:t>: Decide on a content pipeline owner for the cartoon series — will this be produced in-house, outsourced to an animation studio, or built using AI-assisted animation tools? This decision significantly affects budget and timeline.</w:t>
      </w:r>
    </w:p>
    <w:p w14:paraId="4687B8BB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8. Merchandise and Media (Planned)</w:t>
      </w:r>
    </w:p>
    <w:p w14:paraId="5FC6A8B6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 xml:space="preserve">As of early 2026,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have not been widely commercialized. Planned and possible directions include:</w:t>
      </w:r>
    </w:p>
    <w:p w14:paraId="63433298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Plush toys (as shown in early character renders)</w:t>
      </w:r>
    </w:p>
    <w:p w14:paraId="23F8E150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Backpacks</w:t>
      </w:r>
    </w:p>
    <w:p w14:paraId="1DE889B7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T-shirts and apparel</w:t>
      </w:r>
    </w:p>
    <w:p w14:paraId="7CF7E82D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3D-printed collectible toys</w:t>
      </w:r>
    </w:p>
    <w:p w14:paraId="4D92F71D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Illustrated media and children's books</w:t>
      </w:r>
    </w:p>
    <w:p w14:paraId="1A1EFB9D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Digital storytelling and educational or adventure-themed content</w:t>
      </w:r>
    </w:p>
    <w:p w14:paraId="31A774FA" w14:textId="77777777" w:rsidR="005E19F6" w:rsidRPr="00B372EE" w:rsidRDefault="00FF6A94">
      <w:pPr>
        <w:spacing w:after="140"/>
        <w:rPr>
          <w:rFonts w:ascii="Aptos" w:hAnsi="Aptos"/>
        </w:rPr>
      </w:pPr>
      <w:r w:rsidRPr="00B372EE">
        <w:rPr>
          <w:rFonts w:ascii="Aptos" w:hAnsi="Aptos"/>
        </w:rPr>
        <w:t>Any such expansions are intended to remain secondary to the platform's core mission of encouraging real-world participation — merchandise supports the story, rather than becoming the point of it.</w:t>
      </w:r>
    </w:p>
    <w:p w14:paraId="003F647B" w14:textId="77777777" w:rsidR="005E19F6" w:rsidRPr="00B372EE" w:rsidRDefault="00FF6A94">
      <w:pPr>
        <w:spacing w:after="120"/>
        <w:ind w:left="360"/>
        <w:rPr>
          <w:rFonts w:ascii="Aptos" w:hAnsi="Aptos"/>
        </w:rPr>
      </w:pPr>
      <w:r w:rsidRPr="00B372EE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372EE">
        <w:rPr>
          <w:rFonts w:ascii="Aptos" w:hAnsi="Aptos"/>
          <w:i/>
          <w:iCs/>
          <w:highlight w:val="yellow"/>
        </w:rPr>
        <w:t>note</w:t>
      </w:r>
      <w:proofErr w:type="gramEnd"/>
      <w:r w:rsidRPr="00B372EE">
        <w:rPr>
          <w:rFonts w:ascii="Aptos" w:hAnsi="Aptos"/>
          <w:i/>
          <w:iCs/>
          <w:highlight w:val="yellow"/>
        </w:rPr>
        <w:t>: Each character's color and motif (fire/sun, light, nature, stars, frost) lends itself naturally to themed merchandise collections or seasonal releases — worth considering as a launch strategy (e.g., release Sol and Ember first for a summer push, Axis for a winter collection).</w:t>
      </w:r>
    </w:p>
    <w:p w14:paraId="1AFE6501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9. Cultural Significance</w:t>
      </w:r>
    </w:p>
    <w:p w14:paraId="2C75922F" w14:textId="77777777" w:rsidR="005E19F6" w:rsidRPr="00B372EE" w:rsidRDefault="00FF6A94">
      <w:pPr>
        <w:spacing w:after="140"/>
        <w:rPr>
          <w:rFonts w:ascii="Aptos" w:hAnsi="Aptos"/>
        </w:rPr>
      </w:pP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are designed to reflect the central philosophy of TUDU Entertainment: that technology should act as a gateway to shared human experiences rather than a replacement for them. By positioning the characters as observers and companions rather than protagonists, the brand emphasizes user agency and real-world action.</w:t>
      </w:r>
    </w:p>
    <w:p w14:paraId="3575ED7E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10. Next Steps</w:t>
      </w:r>
    </w:p>
    <w:p w14:paraId="0824BB24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 xml:space="preserve">Create full individual bios for each </w:t>
      </w:r>
      <w:proofErr w:type="spellStart"/>
      <w:r w:rsidRPr="00B372EE">
        <w:rPr>
          <w:rFonts w:ascii="Aptos" w:hAnsi="Aptos"/>
        </w:rPr>
        <w:t>Tuduan</w:t>
      </w:r>
      <w:proofErr w:type="spellEnd"/>
      <w:r w:rsidRPr="00B372EE">
        <w:rPr>
          <w:rFonts w:ascii="Aptos" w:hAnsi="Aptos"/>
        </w:rPr>
        <w:t xml:space="preserve"> (origin, personality quirks, catchphrases, relationships to one another).</w:t>
      </w:r>
    </w:p>
    <w:p w14:paraId="042C08AF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 xml:space="preserve">Define </w:t>
      </w:r>
      <w:proofErr w:type="spellStart"/>
      <w:r w:rsidRPr="00B372EE">
        <w:rPr>
          <w:rFonts w:ascii="Aptos" w:hAnsi="Aptos"/>
        </w:rPr>
        <w:t>Tuduan</w:t>
      </w:r>
      <w:proofErr w:type="spellEnd"/>
      <w:r w:rsidRPr="00B372EE">
        <w:rPr>
          <w:rFonts w:ascii="Aptos" w:hAnsi="Aptos"/>
        </w:rPr>
        <w:t xml:space="preserve"> lore — origin story, purpose, and how they came to observe/accompany humans.</w:t>
      </w:r>
    </w:p>
    <w:p w14:paraId="2855C252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Develop plushie-ready character specs (exact colors, proportions, materials) for manufacturing.</w:t>
      </w:r>
    </w:p>
    <w:p w14:paraId="7D0C85B9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Write a full "Lore Codex" — a non-Wikipedia-style deep reference document — to support writers once video content begins.</w:t>
      </w:r>
    </w:p>
    <w:p w14:paraId="6473046A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 xml:space="preserve">Map out how </w:t>
      </w:r>
      <w:proofErr w:type="spellStart"/>
      <w:r w:rsidRPr="00B372EE">
        <w:rPr>
          <w:rFonts w:ascii="Aptos" w:hAnsi="Aptos"/>
        </w:rPr>
        <w:t>Tuduans</w:t>
      </w:r>
      <w:proofErr w:type="spellEnd"/>
      <w:r w:rsidRPr="00B372EE">
        <w:rPr>
          <w:rFonts w:ascii="Aptos" w:hAnsi="Aptos"/>
        </w:rPr>
        <w:t xml:space="preserve"> tie into specific app moments, rewards, or milestones (e.g., a character appearing when a user hits a TUDU Miles milestone).</w:t>
      </w:r>
    </w:p>
    <w:p w14:paraId="2B7D3A3D" w14:textId="77777777" w:rsidR="005E19F6" w:rsidRPr="00B372EE" w:rsidRDefault="00FF6A94">
      <w:pPr>
        <w:pStyle w:val="Heading1"/>
        <w:spacing w:before="320" w:after="160"/>
        <w:rPr>
          <w:rFonts w:ascii="Aptos" w:hAnsi="Aptos"/>
        </w:rPr>
      </w:pPr>
      <w:r w:rsidRPr="00B372EE">
        <w:rPr>
          <w:rFonts w:ascii="Aptos" w:hAnsi="Aptos"/>
        </w:rPr>
        <w:t>11. See Also</w:t>
      </w:r>
    </w:p>
    <w:p w14:paraId="7E3006EE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TUDU Entertainment Inc.</w:t>
      </w:r>
    </w:p>
    <w:p w14:paraId="1386D153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TUDU Kids Foundation</w:t>
      </w:r>
    </w:p>
    <w:p w14:paraId="3619102E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TUDU Crew</w:t>
      </w:r>
    </w:p>
    <w:p w14:paraId="7A8E82EF" w14:textId="77777777" w:rsidR="005E19F6" w:rsidRPr="00B372EE" w:rsidRDefault="00FF6A94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372EE">
        <w:rPr>
          <w:rFonts w:ascii="Aptos" w:hAnsi="Aptos"/>
        </w:rPr>
        <w:t>Brand mascots in digital platforms</w:t>
      </w:r>
    </w:p>
    <w:sectPr w:rsidR="005E19F6" w:rsidRPr="00B372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6725" w14:textId="77777777" w:rsidR="00FF6A94" w:rsidRDefault="00FF6A94" w:rsidP="00B372EE">
      <w:r>
        <w:separator/>
      </w:r>
    </w:p>
  </w:endnote>
  <w:endnote w:type="continuationSeparator" w:id="0">
    <w:p w14:paraId="489748DA" w14:textId="77777777" w:rsidR="00FF6A94" w:rsidRDefault="00FF6A94" w:rsidP="00B3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F52A" w14:textId="77777777" w:rsidR="00FF6A94" w:rsidRDefault="00FF6A94" w:rsidP="00B372EE">
      <w:r>
        <w:separator/>
      </w:r>
    </w:p>
  </w:footnote>
  <w:footnote w:type="continuationSeparator" w:id="0">
    <w:p w14:paraId="6EFD40F4" w14:textId="77777777" w:rsidR="00FF6A94" w:rsidRDefault="00FF6A94" w:rsidP="00B37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53C2"/>
    <w:multiLevelType w:val="hybridMultilevel"/>
    <w:tmpl w:val="FE441492"/>
    <w:lvl w:ilvl="0" w:tplc="62A248C6">
      <w:start w:val="1"/>
      <w:numFmt w:val="bullet"/>
      <w:lvlText w:val="●"/>
      <w:lvlJc w:val="left"/>
      <w:pPr>
        <w:ind w:left="720" w:hanging="360"/>
      </w:pPr>
    </w:lvl>
    <w:lvl w:ilvl="1" w:tplc="6AE2009A">
      <w:start w:val="1"/>
      <w:numFmt w:val="bullet"/>
      <w:lvlText w:val="○"/>
      <w:lvlJc w:val="left"/>
      <w:pPr>
        <w:ind w:left="1440" w:hanging="360"/>
      </w:pPr>
    </w:lvl>
    <w:lvl w:ilvl="2" w:tplc="87D46760">
      <w:start w:val="1"/>
      <w:numFmt w:val="bullet"/>
      <w:lvlText w:val="■"/>
      <w:lvlJc w:val="left"/>
      <w:pPr>
        <w:ind w:left="2160" w:hanging="360"/>
      </w:pPr>
    </w:lvl>
    <w:lvl w:ilvl="3" w:tplc="3DD203AA">
      <w:start w:val="1"/>
      <w:numFmt w:val="bullet"/>
      <w:lvlText w:val="●"/>
      <w:lvlJc w:val="left"/>
      <w:pPr>
        <w:ind w:left="2880" w:hanging="360"/>
      </w:pPr>
    </w:lvl>
    <w:lvl w:ilvl="4" w:tplc="F4B2E5FC">
      <w:start w:val="1"/>
      <w:numFmt w:val="bullet"/>
      <w:lvlText w:val="○"/>
      <w:lvlJc w:val="left"/>
      <w:pPr>
        <w:ind w:left="3600" w:hanging="360"/>
      </w:pPr>
    </w:lvl>
    <w:lvl w:ilvl="5" w:tplc="7BAE4AB8">
      <w:start w:val="1"/>
      <w:numFmt w:val="bullet"/>
      <w:lvlText w:val="■"/>
      <w:lvlJc w:val="left"/>
      <w:pPr>
        <w:ind w:left="4320" w:hanging="360"/>
      </w:pPr>
    </w:lvl>
    <w:lvl w:ilvl="6" w:tplc="F6920410">
      <w:start w:val="1"/>
      <w:numFmt w:val="bullet"/>
      <w:lvlText w:val="●"/>
      <w:lvlJc w:val="left"/>
      <w:pPr>
        <w:ind w:left="5040" w:hanging="360"/>
      </w:pPr>
    </w:lvl>
    <w:lvl w:ilvl="7" w:tplc="1A824AF2">
      <w:start w:val="1"/>
      <w:numFmt w:val="bullet"/>
      <w:lvlText w:val="●"/>
      <w:lvlJc w:val="left"/>
      <w:pPr>
        <w:ind w:left="5760" w:hanging="360"/>
      </w:pPr>
    </w:lvl>
    <w:lvl w:ilvl="8" w:tplc="BD96D524">
      <w:start w:val="1"/>
      <w:numFmt w:val="bullet"/>
      <w:lvlText w:val="●"/>
      <w:lvlJc w:val="left"/>
      <w:pPr>
        <w:ind w:left="6480" w:hanging="360"/>
      </w:pPr>
    </w:lvl>
  </w:abstractNum>
  <w:num w:numId="1" w16cid:durableId="1108505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9F6"/>
    <w:rsid w:val="005E19F6"/>
    <w:rsid w:val="00B372EE"/>
    <w:rsid w:val="00B67DA4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C0928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72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72EE"/>
  </w:style>
  <w:style w:type="paragraph" w:styleId="Footer">
    <w:name w:val="footer"/>
    <w:basedOn w:val="Normal"/>
    <w:link w:val="FooterChar"/>
    <w:uiPriority w:val="99"/>
    <w:unhideWhenUsed/>
    <w:rsid w:val="00B372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2</cp:revision>
  <dcterms:created xsi:type="dcterms:W3CDTF">2026-07-08T00:38:00Z</dcterms:created>
  <dcterms:modified xsi:type="dcterms:W3CDTF">2026-07-08T00:38:00Z</dcterms:modified>
</cp:coreProperties>
</file>