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F938" w14:textId="7EE54B36" w:rsidR="00A15F39" w:rsidRPr="00A15F39" w:rsidRDefault="00FC577A" w:rsidP="00C75B3A">
      <w:pPr>
        <w:pStyle w:val="Heading2"/>
      </w:pPr>
      <w:r w:rsidRPr="00FC577A">
        <w:t>Material</w:t>
      </w:r>
    </w:p>
    <w:p w14:paraId="31B47CB7" w14:textId="3E21B558" w:rsidR="004918D4" w:rsidRDefault="00FC577A" w:rsidP="004918D4">
      <w:r w:rsidRPr="00FC577A">
        <w:rPr>
          <w:highlight w:val="yellow"/>
        </w:rPr>
        <w:t>The Material component reads material properties from a CSV file or allows direct input in Grasshopper and outputs all necessary material constants for structural analysis</w:t>
      </w:r>
      <w:r w:rsidRPr="00FC577A">
        <w:t xml:space="preserve">. The input is either the CSV file name (filename) containing material data or lists of properties for each material. The CSV or lists must include the Young’s modulus (E [kN/m²]), Poisson’s ratio (poi), and unit weight (rho [kN/m³]) for all materials. </w:t>
      </w:r>
      <w:r w:rsidRPr="00FC577A">
        <w:rPr>
          <w:highlight w:val="yellow"/>
        </w:rPr>
        <w:t>Depending on the material type, additional properties are output: compressive strength (Fc) for RC or timber, tensile (Ft), bending (Fb), and shear (Fs) strengths for timber, and yield strength (F) for steel</w:t>
      </w:r>
      <w:r w:rsidRPr="00FC577A">
        <w:t xml:space="preserve">. All outputs are lists, and their lengths must match the number of materials. This component is commonly used with Cross-Sec Perf to assign material properties to structural members, allowing combination of steel, concrete, and timber elements in one model. Users can either read material data from a CSV (e.g., “materiallist.csv”) or directly input arrays in </w:t>
      </w:r>
      <w:proofErr w:type="spellStart"/>
      <w:r w:rsidRPr="00FC577A">
        <w:t>GHPython</w:t>
      </w:r>
      <w:proofErr w:type="spellEnd"/>
      <w:r w:rsidRPr="00FC577A">
        <w:t xml:space="preserve"> for all relevant properties.</w:t>
      </w:r>
    </w:p>
    <w:p w14:paraId="1280687E" w14:textId="2605AFE2" w:rsidR="00AF39E7" w:rsidRDefault="00AF39E7" w:rsidP="00AF39E7">
      <w:pPr>
        <w:pStyle w:val="Heading2"/>
      </w:pPr>
      <w:proofErr w:type="spellStart"/>
      <w:r w:rsidRPr="00AF39E7">
        <w:t>AssembleLoads</w:t>
      </w:r>
      <w:proofErr w:type="spellEnd"/>
    </w:p>
    <w:p w14:paraId="57550909" w14:textId="44F2B81B" w:rsidR="00AF39E7" w:rsidRDefault="00C2129B" w:rsidP="004918D4">
      <w:r w:rsidRPr="00C2129B">
        <w:t xml:space="preserve">The </w:t>
      </w:r>
      <w:proofErr w:type="spellStart"/>
      <w:r w:rsidRPr="00C2129B">
        <w:t>AssembleLoads</w:t>
      </w:r>
      <w:proofErr w:type="spellEnd"/>
      <w:r w:rsidRPr="00C2129B">
        <w:t xml:space="preserve"> component in </w:t>
      </w:r>
      <w:proofErr w:type="spellStart"/>
      <w:r w:rsidRPr="00C2129B">
        <w:t>OpenSees</w:t>
      </w:r>
      <w:proofErr w:type="spellEnd"/>
      <w:r w:rsidRPr="00C2129B">
        <w:t xml:space="preserve"> for Grasshopper consolidates all types of loads—nodal loads, element distributed loads, floor loads (</w:t>
      </w:r>
      <w:proofErr w:type="spellStart"/>
      <w:r w:rsidRPr="00C2129B">
        <w:t>Kamenoko</w:t>
      </w:r>
      <w:proofErr w:type="spellEnd"/>
      <w:r>
        <w:rPr>
          <w:rStyle w:val="FootnoteReference"/>
        </w:rPr>
        <w:footnoteReference w:id="1"/>
      </w:r>
      <w:r w:rsidR="00543AB4">
        <w:rPr>
          <w:vertAlign w:val="superscript"/>
        </w:rPr>
        <w:t>,</w:t>
      </w:r>
      <w:r w:rsidR="00543AB4">
        <w:rPr>
          <w:rStyle w:val="FootnoteReference"/>
        </w:rPr>
        <w:footnoteReference w:id="2"/>
      </w:r>
      <w:r w:rsidRPr="00C2129B">
        <w:t xml:space="preserve"> or turtle-shell division), surface loads (distributed to nodes by area ratio), one-direction wall/floor loads, and beam self-weight—into equivalent nodal forces (CMQ) for structural analysis. It outputs the nodal force vector F </w:t>
      </w:r>
      <w:r w:rsidRPr="00C2129B">
        <w:lastRenderedPageBreak/>
        <w:t xml:space="preserve">([[node, </w:t>
      </w:r>
      <w:proofErr w:type="spellStart"/>
      <w:r w:rsidRPr="00C2129B">
        <w:t>Px</w:t>
      </w:r>
      <w:proofErr w:type="spellEnd"/>
      <w:r w:rsidRPr="00C2129B">
        <w:t xml:space="preserve">, Py, </w:t>
      </w:r>
      <w:proofErr w:type="spellStart"/>
      <w:r w:rsidRPr="00C2129B">
        <w:t>Pz</w:t>
      </w:r>
      <w:proofErr w:type="spellEnd"/>
      <w:r w:rsidRPr="00C2129B">
        <w:t xml:space="preserve">, Mx, </w:t>
      </w:r>
      <w:proofErr w:type="gramStart"/>
      <w:r w:rsidRPr="00C2129B">
        <w:t>My</w:t>
      </w:r>
      <w:proofErr w:type="gramEnd"/>
      <w:r w:rsidRPr="00C2129B">
        <w:t xml:space="preserve">, </w:t>
      </w:r>
      <w:proofErr w:type="spellStart"/>
      <w:r w:rsidRPr="00C2129B">
        <w:t>Mz</w:t>
      </w:r>
      <w:proofErr w:type="spellEnd"/>
      <w:r w:rsidRPr="00C2129B">
        <w:t xml:space="preserve">], …]), the element internal force vector f (including distributed loads converted to section forces), and an updated node coordinate list </w:t>
      </w:r>
      <w:proofErr w:type="spellStart"/>
      <w:r w:rsidRPr="00C2129B">
        <w:t>Rj</w:t>
      </w:r>
      <w:proofErr w:type="spellEnd"/>
      <w:r w:rsidRPr="00C2129B">
        <w:t xml:space="preserve"> if joints are included, which accounts for joint stiffness. Inputs include the node coordinates R, element connectivity IJ, joint conditions joint, nodal loads </w:t>
      </w:r>
      <w:proofErr w:type="spellStart"/>
      <w:r w:rsidRPr="00C2129B">
        <w:t>p_load</w:t>
      </w:r>
      <w:proofErr w:type="spellEnd"/>
      <w:r w:rsidRPr="00C2129B">
        <w:t xml:space="preserve">, element distributed loads </w:t>
      </w:r>
      <w:proofErr w:type="spellStart"/>
      <w:r w:rsidRPr="00C2129B">
        <w:t>e_load</w:t>
      </w:r>
      <w:proofErr w:type="spellEnd"/>
      <w:r w:rsidRPr="00C2129B">
        <w:t xml:space="preserve">, floor loads </w:t>
      </w:r>
      <w:proofErr w:type="spellStart"/>
      <w:r w:rsidRPr="00C2129B">
        <w:t>f_load</w:t>
      </w:r>
      <w:proofErr w:type="spellEnd"/>
      <w:r w:rsidRPr="00C2129B">
        <w:t xml:space="preserve">, surface loads </w:t>
      </w:r>
      <w:proofErr w:type="spellStart"/>
      <w:r w:rsidRPr="00C2129B">
        <w:t>s_load</w:t>
      </w:r>
      <w:proofErr w:type="spellEnd"/>
      <w:r w:rsidRPr="00C2129B">
        <w:t xml:space="preserve">, one-direction loads </w:t>
      </w:r>
      <w:proofErr w:type="spellStart"/>
      <w:r w:rsidRPr="00C2129B">
        <w:t>w_load</w:t>
      </w:r>
      <w:proofErr w:type="spellEnd"/>
      <w:r w:rsidRPr="00C2129B">
        <w:t xml:space="preserve">, cross-sectional areas A, material densities rho, and an accuracy parameter for </w:t>
      </w:r>
      <w:proofErr w:type="spellStart"/>
      <w:r w:rsidRPr="00C2129B">
        <w:t>Kamenoko</w:t>
      </w:r>
      <w:proofErr w:type="spellEnd"/>
      <w:r w:rsidRPr="00C2129B">
        <w:t xml:space="preserve"> division. Self-weight is considered only for beam elements when A and rho are provided. </w:t>
      </w:r>
      <w:proofErr w:type="spellStart"/>
      <w:r w:rsidRPr="00C2129B">
        <w:t>f_load</w:t>
      </w:r>
      <w:proofErr w:type="spellEnd"/>
      <w:r w:rsidRPr="00C2129B">
        <w:t xml:space="preserve"> applies </w:t>
      </w:r>
      <w:proofErr w:type="spellStart"/>
      <w:r w:rsidRPr="00C2129B">
        <w:t>Kamenoko</w:t>
      </w:r>
      <w:proofErr w:type="spellEnd"/>
      <w:r w:rsidRPr="00C2129B">
        <w:t xml:space="preserve">-divided floor loads to beams, while </w:t>
      </w:r>
      <w:proofErr w:type="spellStart"/>
      <w:r w:rsidRPr="00C2129B">
        <w:t>s_load</w:t>
      </w:r>
      <w:proofErr w:type="spellEnd"/>
      <w:r w:rsidRPr="00C2129B">
        <w:t xml:space="preserve"> distributes surface loads directly to nodes without generating intermediate stresses. The output F and f are directly used in elastic analysis, while </w:t>
      </w:r>
      <w:proofErr w:type="spellStart"/>
      <w:r w:rsidRPr="00C2129B">
        <w:t>Rj</w:t>
      </w:r>
      <w:proofErr w:type="spellEnd"/>
      <w:r w:rsidRPr="00C2129B">
        <w:t xml:space="preserve"> is used for earthquake load generation when joints are present.</w:t>
      </w:r>
    </w:p>
    <w:p w14:paraId="57897C53" w14:textId="52788029" w:rsidR="001B1637" w:rsidRDefault="001B1637" w:rsidP="001B1637">
      <w:pPr>
        <w:pStyle w:val="Heading2"/>
      </w:pPr>
      <w:proofErr w:type="spellStart"/>
      <w:r>
        <w:t>SeismicLoads</w:t>
      </w:r>
      <w:proofErr w:type="spellEnd"/>
    </w:p>
    <w:p w14:paraId="7D94594A" w14:textId="0DB76478" w:rsidR="001B1637" w:rsidRPr="001B1637" w:rsidRDefault="001B1637" w:rsidP="001B1637">
      <w:r w:rsidRPr="001B1637">
        <w:t xml:space="preserve">The </w:t>
      </w:r>
      <w:proofErr w:type="spellStart"/>
      <w:r w:rsidRPr="001B1637">
        <w:t>SeismicLoads</w:t>
      </w:r>
      <w:proofErr w:type="spellEnd"/>
      <w:r w:rsidRPr="001B1637">
        <w:t xml:space="preserve"> component automatically generates earthquake forces for structural analysis based on the vertical nodal loads such as </w:t>
      </w:r>
      <w:proofErr w:type="spellStart"/>
      <w:r w:rsidRPr="001B1637">
        <w:t>self weight</w:t>
      </w:r>
      <w:proofErr w:type="spellEnd"/>
      <w:r w:rsidRPr="001B1637">
        <w:t xml:space="preserve"> and floor loads by distributing them along each story according to the Ai </w:t>
      </w:r>
      <w:proofErr w:type="spellStart"/>
      <w:r w:rsidRPr="001B1637">
        <w:t>heightwise</w:t>
      </w:r>
      <w:proofErr w:type="spellEnd"/>
      <w:r w:rsidRPr="001B1637">
        <w:t xml:space="preserve"> distribution coefficient, producing standard X and Y direction forces as well as diagonal </w:t>
      </w:r>
      <w:proofErr w:type="gramStart"/>
      <w:r w:rsidRPr="001B1637">
        <w:t>45 and 135 degree</w:t>
      </w:r>
      <w:proofErr w:type="gramEnd"/>
      <w:r w:rsidRPr="001B1637">
        <w:t xml:space="preserve"> directions, along with their negative counterparts. Each story's shear force Ci is calculated using the seismic zone factor Z, vibration factor Rt, standard shear coefficient C0, fundamental period T, and the story's weight proportion alpha </w:t>
      </w:r>
      <w:proofErr w:type="spellStart"/>
      <w:r w:rsidRPr="001B1637">
        <w:t>i</w:t>
      </w:r>
      <w:proofErr w:type="spellEnd"/>
      <w:r w:rsidRPr="001B1637">
        <w:t xml:space="preserve">, while lateral nodal forces like FX, FY, FXY, and their negative directions are output in tree format for direct use in Elastic Analysis. Inputs include the nodal positions and forces from </w:t>
      </w:r>
      <w:proofErr w:type="spellStart"/>
      <w:r w:rsidRPr="001B1637">
        <w:t>AssembleLoads</w:t>
      </w:r>
      <w:proofErr w:type="spellEnd"/>
      <w:r w:rsidRPr="001B1637">
        <w:t xml:space="preserve">, story height ranges, and seismic parameters, and the component accounts for proper joint duplications and Ai based distribution. By feeding these outputs into </w:t>
      </w:r>
      <w:proofErr w:type="spellStart"/>
      <w:r w:rsidRPr="001B1637">
        <w:t>ElasticAnalysis</w:t>
      </w:r>
      <w:proofErr w:type="spellEnd"/>
      <w:r w:rsidRPr="001B1637">
        <w:t xml:space="preserve">, you can </w:t>
      </w:r>
      <w:r w:rsidRPr="00045931">
        <w:rPr>
          <w:highlight w:val="yellow"/>
        </w:rPr>
        <w:t>calculate story displacements and internal forces under code compliant seismic loads</w:t>
      </w:r>
      <w:r w:rsidRPr="001B1637">
        <w:t>.</w:t>
      </w:r>
    </w:p>
    <w:p w14:paraId="28CE32FC" w14:textId="618B45A2" w:rsidR="00C2129B" w:rsidRDefault="001C5600" w:rsidP="001C5600">
      <w:pPr>
        <w:pStyle w:val="Heading2"/>
      </w:pPr>
      <w:proofErr w:type="spellStart"/>
      <w:r>
        <w:lastRenderedPageBreak/>
        <w:t>Readwave</w:t>
      </w:r>
      <w:proofErr w:type="spellEnd"/>
    </w:p>
    <w:p w14:paraId="4C67F3D3" w14:textId="2AE40F75" w:rsidR="007F5B52" w:rsidRPr="001C5600" w:rsidRDefault="007F5B52" w:rsidP="001C5600">
      <w:r w:rsidRPr="007F5B52">
        <w:t>The Read Wave component reads a time history file, usually containing acceleration data, from a given filename and outputs it as a time series. The x and y inputs are used to scale the graph of the acceleration (for width and depth visualization purposes), and origin sets the reference point for plotting. The output consists of time and acceleration, which can then be used in dynamic structural analysis, such as applying earthquake ground motions to a model or simulating vibrations over time. Essentially, it converts an external CSV or text file of recorded or synthetic motion data into a format usable by other analysis components.</w:t>
      </w:r>
      <w:r>
        <w:t xml:space="preserve"> (</w:t>
      </w:r>
      <w:r w:rsidRPr="003E683A">
        <w:rPr>
          <w:highlight w:val="yellow"/>
        </w:rPr>
        <w:t>Use “</w:t>
      </w:r>
      <w:r w:rsidRPr="003E683A">
        <w:rPr>
          <w:highlight w:val="yellow"/>
        </w:rPr>
        <w:t>PreProcess-2 ReadWave.gh</w:t>
      </w:r>
      <w:r w:rsidRPr="003E683A">
        <w:rPr>
          <w:highlight w:val="yellow"/>
        </w:rPr>
        <w:t>”</w:t>
      </w:r>
      <w:r>
        <w:t>) for reference.</w:t>
      </w:r>
    </w:p>
    <w:sectPr w:rsidR="007F5B52" w:rsidRPr="001C56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E12F0" w14:textId="77777777" w:rsidR="00580941" w:rsidRDefault="00580941" w:rsidP="00C75B3A">
      <w:r>
        <w:separator/>
      </w:r>
    </w:p>
  </w:endnote>
  <w:endnote w:type="continuationSeparator" w:id="0">
    <w:p w14:paraId="4DE30918" w14:textId="77777777" w:rsidR="00580941" w:rsidRDefault="00580941" w:rsidP="00C75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00F98" w14:textId="77777777" w:rsidR="00580941" w:rsidRDefault="00580941" w:rsidP="00C75B3A">
      <w:r>
        <w:separator/>
      </w:r>
    </w:p>
  </w:footnote>
  <w:footnote w:type="continuationSeparator" w:id="0">
    <w:p w14:paraId="1B90EB50" w14:textId="77777777" w:rsidR="00580941" w:rsidRDefault="00580941" w:rsidP="00C75B3A">
      <w:r>
        <w:continuationSeparator/>
      </w:r>
    </w:p>
  </w:footnote>
  <w:footnote w:id="1">
    <w:p w14:paraId="4FB6D434" w14:textId="63865CD0" w:rsidR="00C2129B" w:rsidRPr="00C2129B" w:rsidRDefault="00C2129B" w:rsidP="00C2129B">
      <w:pPr>
        <w:pStyle w:val="FootnoteText"/>
      </w:pPr>
      <w:r>
        <w:rPr>
          <w:rStyle w:val="FootnoteReference"/>
        </w:rPr>
        <w:footnoteRef/>
      </w:r>
      <w:r>
        <w:t xml:space="preserve"> </w:t>
      </w:r>
      <w:proofErr w:type="spellStart"/>
      <w:r w:rsidRPr="00C2129B">
        <w:rPr>
          <w:b/>
          <w:bCs/>
        </w:rPr>
        <w:t>Kamenoko</w:t>
      </w:r>
      <w:proofErr w:type="spellEnd"/>
      <w:r>
        <w:t xml:space="preserve">: </w:t>
      </w:r>
      <w:r w:rsidRPr="00C2129B">
        <w:t>This is a floor load distribution method.</w:t>
      </w:r>
      <w:r>
        <w:t xml:space="preserve"> </w:t>
      </w:r>
      <w:r w:rsidRPr="00C2129B">
        <w:t>The surface (floor, slab) is subdivided into smaller triangles or quadrilaterals, like a turtle shell, based on the beam layout.</w:t>
      </w:r>
      <w:r>
        <w:t xml:space="preserve"> </w:t>
      </w:r>
      <w:r w:rsidRPr="00C2129B">
        <w:t>Loads on each small patch are converted into equivalent forces and moments at the beam nodes.</w:t>
      </w:r>
      <w:r>
        <w:t xml:space="preserve"> </w:t>
      </w:r>
      <w:r>
        <w:t>This method ensures that bending effects and shear are correctly captured at each beam.</w:t>
      </w:r>
      <w:r>
        <w:t xml:space="preserve"> </w:t>
      </w:r>
      <w:r>
        <w:t xml:space="preserve">Corresponds to </w:t>
      </w:r>
      <w:proofErr w:type="spellStart"/>
      <w:r>
        <w:t>f_load</w:t>
      </w:r>
      <w:proofErr w:type="spellEnd"/>
      <w:r>
        <w:t xml:space="preserve"> input in </w:t>
      </w:r>
      <w:proofErr w:type="spellStart"/>
      <w:r>
        <w:t>AssembleLoads</w:t>
      </w:r>
      <w:proofErr w:type="spellEnd"/>
      <w:r>
        <w:t>.</w:t>
      </w:r>
    </w:p>
  </w:footnote>
  <w:footnote w:id="2">
    <w:p w14:paraId="2E8DB149" w14:textId="1AFBF54C" w:rsidR="00543AB4" w:rsidRDefault="00543AB4" w:rsidP="00543AB4">
      <w:pPr>
        <w:pStyle w:val="FootnoteText"/>
      </w:pPr>
      <w:r>
        <w:rPr>
          <w:rStyle w:val="FootnoteReference"/>
        </w:rPr>
        <w:footnoteRef/>
      </w:r>
      <w:r>
        <w:t xml:space="preserve"> </w:t>
      </w:r>
      <w:r w:rsidRPr="00C2129B">
        <w:rPr>
          <w:b/>
          <w:bCs/>
        </w:rPr>
        <w:t>Direct area-based division</w:t>
      </w:r>
      <w:r>
        <w:t>:</w:t>
      </w:r>
      <w:r>
        <w:t xml:space="preserve"> </w:t>
      </w:r>
      <w:r w:rsidRPr="00C2129B">
        <w:t>Surface loads are simply divided proportionally to the area of each node or element.</w:t>
      </w:r>
      <w:r>
        <w:t xml:space="preserve"> </w:t>
      </w:r>
      <w:r w:rsidRPr="00C2129B">
        <w:t>No intermediate stress calculation; just nodal forces.</w:t>
      </w:r>
      <w:r>
        <w:t xml:space="preserve"> </w:t>
      </w:r>
      <w:r w:rsidRPr="00C2129B">
        <w:t>Simpler, faster, but less accurate for beam bending.</w:t>
      </w:r>
      <w:r>
        <w:t xml:space="preserve"> </w:t>
      </w:r>
      <w:r w:rsidRPr="00C2129B">
        <w:t xml:space="preserve">Corresponds to </w:t>
      </w:r>
      <w:proofErr w:type="spellStart"/>
      <w:r w:rsidRPr="00C2129B">
        <w:t>s_load</w:t>
      </w:r>
      <w:proofErr w:type="spellEnd"/>
      <w:r w:rsidRPr="00C2129B">
        <w:t xml:space="preserve"> input in </w:t>
      </w:r>
      <w:proofErr w:type="spellStart"/>
      <w:r w:rsidRPr="00C2129B">
        <w:t>AssembleLoads</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C9"/>
    <w:rsid w:val="00001FC3"/>
    <w:rsid w:val="00045931"/>
    <w:rsid w:val="00080DC9"/>
    <w:rsid w:val="000C3614"/>
    <w:rsid w:val="0011675A"/>
    <w:rsid w:val="00196786"/>
    <w:rsid w:val="001B1637"/>
    <w:rsid w:val="001C5600"/>
    <w:rsid w:val="003C36B2"/>
    <w:rsid w:val="003E683A"/>
    <w:rsid w:val="004918D4"/>
    <w:rsid w:val="004A46EA"/>
    <w:rsid w:val="004E6795"/>
    <w:rsid w:val="0054236F"/>
    <w:rsid w:val="00543AB4"/>
    <w:rsid w:val="00580941"/>
    <w:rsid w:val="0060275F"/>
    <w:rsid w:val="0064033A"/>
    <w:rsid w:val="00727342"/>
    <w:rsid w:val="007C09AC"/>
    <w:rsid w:val="007D204A"/>
    <w:rsid w:val="007F5B52"/>
    <w:rsid w:val="00880544"/>
    <w:rsid w:val="00886B38"/>
    <w:rsid w:val="008D7059"/>
    <w:rsid w:val="00A15F39"/>
    <w:rsid w:val="00AF0916"/>
    <w:rsid w:val="00AF39E7"/>
    <w:rsid w:val="00B14001"/>
    <w:rsid w:val="00C2129B"/>
    <w:rsid w:val="00C75B3A"/>
    <w:rsid w:val="00EE532F"/>
    <w:rsid w:val="00FC5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BAA8"/>
  <w15:chartTrackingRefBased/>
  <w15:docId w15:val="{B14EFBFC-07D7-42D5-89B9-8AB7F996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B3A"/>
    <w:pPr>
      <w:spacing w:line="48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080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0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0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C9"/>
    <w:rPr>
      <w:rFonts w:eastAsiaTheme="majorEastAsia" w:cstheme="majorBidi"/>
      <w:color w:val="272727" w:themeColor="text1" w:themeTint="D8"/>
    </w:rPr>
  </w:style>
  <w:style w:type="paragraph" w:styleId="Title">
    <w:name w:val="Title"/>
    <w:basedOn w:val="Normal"/>
    <w:next w:val="Normal"/>
    <w:link w:val="TitleChar"/>
    <w:uiPriority w:val="10"/>
    <w:qFormat/>
    <w:rsid w:val="00080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C9"/>
    <w:pPr>
      <w:spacing w:before="160"/>
      <w:jc w:val="center"/>
    </w:pPr>
    <w:rPr>
      <w:i/>
      <w:iCs/>
      <w:color w:val="404040" w:themeColor="text1" w:themeTint="BF"/>
    </w:rPr>
  </w:style>
  <w:style w:type="character" w:customStyle="1" w:styleId="QuoteChar">
    <w:name w:val="Quote Char"/>
    <w:basedOn w:val="DefaultParagraphFont"/>
    <w:link w:val="Quote"/>
    <w:uiPriority w:val="29"/>
    <w:rsid w:val="00080DC9"/>
    <w:rPr>
      <w:i/>
      <w:iCs/>
      <w:color w:val="404040" w:themeColor="text1" w:themeTint="BF"/>
    </w:rPr>
  </w:style>
  <w:style w:type="paragraph" w:styleId="ListParagraph">
    <w:name w:val="List Paragraph"/>
    <w:basedOn w:val="Normal"/>
    <w:uiPriority w:val="34"/>
    <w:qFormat/>
    <w:rsid w:val="00080DC9"/>
    <w:pPr>
      <w:ind w:left="720"/>
      <w:contextualSpacing/>
    </w:pPr>
  </w:style>
  <w:style w:type="character" w:styleId="IntenseEmphasis">
    <w:name w:val="Intense Emphasis"/>
    <w:basedOn w:val="DefaultParagraphFont"/>
    <w:uiPriority w:val="21"/>
    <w:qFormat/>
    <w:rsid w:val="00080DC9"/>
    <w:rPr>
      <w:i/>
      <w:iCs/>
      <w:color w:val="2F5496" w:themeColor="accent1" w:themeShade="BF"/>
    </w:rPr>
  </w:style>
  <w:style w:type="paragraph" w:styleId="IntenseQuote">
    <w:name w:val="Intense Quote"/>
    <w:basedOn w:val="Normal"/>
    <w:next w:val="Normal"/>
    <w:link w:val="IntenseQuoteChar"/>
    <w:uiPriority w:val="30"/>
    <w:qFormat/>
    <w:rsid w:val="00080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DC9"/>
    <w:rPr>
      <w:i/>
      <w:iCs/>
      <w:color w:val="2F5496" w:themeColor="accent1" w:themeShade="BF"/>
    </w:rPr>
  </w:style>
  <w:style w:type="character" w:styleId="IntenseReference">
    <w:name w:val="Intense Reference"/>
    <w:basedOn w:val="DefaultParagraphFont"/>
    <w:uiPriority w:val="32"/>
    <w:qFormat/>
    <w:rsid w:val="00080DC9"/>
    <w:rPr>
      <w:b/>
      <w:bCs/>
      <w:smallCaps/>
      <w:color w:val="2F5496" w:themeColor="accent1" w:themeShade="BF"/>
      <w:spacing w:val="5"/>
    </w:rPr>
  </w:style>
  <w:style w:type="paragraph" w:styleId="FootnoteText">
    <w:name w:val="footnote text"/>
    <w:basedOn w:val="Normal"/>
    <w:link w:val="FootnoteTextChar"/>
    <w:uiPriority w:val="99"/>
    <w:unhideWhenUsed/>
    <w:rsid w:val="00AF0916"/>
    <w:pPr>
      <w:spacing w:after="0" w:line="240" w:lineRule="auto"/>
    </w:pPr>
    <w:rPr>
      <w:sz w:val="20"/>
      <w:szCs w:val="20"/>
    </w:rPr>
  </w:style>
  <w:style w:type="character" w:customStyle="1" w:styleId="FootnoteTextChar">
    <w:name w:val="Footnote Text Char"/>
    <w:basedOn w:val="DefaultParagraphFont"/>
    <w:link w:val="FootnoteText"/>
    <w:uiPriority w:val="99"/>
    <w:rsid w:val="00AF0916"/>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AF09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AD72C-B15B-4A10-9F0A-7817047EA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Tufail Mabood</dc:creator>
  <cp:keywords/>
  <dc:description/>
  <cp:lastModifiedBy>Tufail Mabood</cp:lastModifiedBy>
  <cp:revision>26</cp:revision>
  <dcterms:created xsi:type="dcterms:W3CDTF">2026-01-28T05:48:00Z</dcterms:created>
  <dcterms:modified xsi:type="dcterms:W3CDTF">2026-01-28T09:18:00Z</dcterms:modified>
</cp:coreProperties>
</file>