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16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19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23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28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32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38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42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77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106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126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132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145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155</w:t>
      </w:r>
    </w:p>
    <w:p>
      <w:pPr>
        <w:numPr>
          <w:ilvl w:val="0"/>
          <w:numId w:val="1005"/>
        </w:numPr>
        <w:pStyle w:val="Compact"/>
      </w:pPr>
      <w:r>
        <w:t xml:space="preserve">Bônus B7 · Dossiê: mais 4 anos em manchetes</w:t>
      </w:r>
      <w:r>
        <w:t xml:space="preserve">156</w:t>
      </w:r>
    </w:p>
    <w:p>
      <w:pPr>
        <w:numPr>
          <w:ilvl w:val="0"/>
          <w:numId w:val="1005"/>
        </w:numPr>
        <w:pStyle w:val="Compact"/>
      </w:pPr>
      <w:r>
        <w:t xml:space="preserve">B7 · Versão de 1 página para WhatsApp</w:t>
      </w:r>
      <w:r>
        <w:t xml:space="preserve">165</w:t>
      </w:r>
    </w:p>
    <w:p>
      <w:pPr>
        <w:numPr>
          <w:ilvl w:val="0"/>
          <w:numId w:val="1005"/>
        </w:numPr>
        <w:pStyle w:val="Compact"/>
      </w:pPr>
      <w:r>
        <w:t xml:space="preserve">Anexo · Fontes de todos os números</w:t>
      </w:r>
      <w:r>
        <w:t xml:space="preserve">166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6"/>
        </w:numPr>
        <w:pStyle w:val="Compact"/>
      </w:pPr>
      <w:r>
        <w:t xml:space="preserve">Você chega mais pobre</w:t>
      </w:r>
    </w:p>
    <w:p>
      <w:pPr>
        <w:numPr>
          <w:ilvl w:val="0"/>
          <w:numId w:val="1006"/>
        </w:numPr>
        <w:pStyle w:val="Compact"/>
      </w:pPr>
      <w:r>
        <w:t xml:space="preserve">Moeda forte contra você</w:t>
      </w:r>
    </w:p>
    <w:p>
      <w:pPr>
        <w:numPr>
          <w:ilvl w:val="0"/>
          <w:numId w:val="1006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7"/>
        </w:numPr>
        <w:pStyle w:val="Compact"/>
      </w:pPr>
      <w:r>
        <w:t xml:space="preserve">Você chega mais rico</w:t>
      </w:r>
    </w:p>
    <w:p>
      <w:pPr>
        <w:numPr>
          <w:ilvl w:val="0"/>
          <w:numId w:val="1007"/>
        </w:numPr>
        <w:pStyle w:val="Compact"/>
      </w:pPr>
      <w:r>
        <w:t xml:space="preserve">Entra com o RG</w:t>
      </w:r>
    </w:p>
    <w:p>
      <w:pPr>
        <w:numPr>
          <w:ilvl w:val="0"/>
          <w:numId w:val="1007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9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9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9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9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9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1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1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1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1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1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4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4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4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4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4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5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5"/>
        </w:numPr>
        <w:pStyle w:val="Compact"/>
      </w:pPr>
      <w:r>
        <w:t xml:space="preserve">Entradas em janeiro e julho</w:t>
      </w:r>
    </w:p>
    <w:p>
      <w:pPr>
        <w:numPr>
          <w:ilvl w:val="0"/>
          <w:numId w:val="1015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6"/>
        </w:numPr>
        <w:pStyle w:val="Compact"/>
      </w:pPr>
      <w:r>
        <w:t xml:space="preserve">Curso de 6 a 7 anos</w:t>
      </w:r>
    </w:p>
    <w:p>
      <w:pPr>
        <w:numPr>
          <w:ilvl w:val="0"/>
          <w:numId w:val="1016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6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7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7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7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7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8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8"/>
        </w:numPr>
        <w:pStyle w:val="Compact"/>
      </w:pPr>
      <w:r>
        <w:t xml:space="preserve">Carro velho e financiado</w:t>
      </w:r>
    </w:p>
    <w:p>
      <w:pPr>
        <w:numPr>
          <w:ilvl w:val="0"/>
          <w:numId w:val="1018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9"/>
        </w:numPr>
        <w:pStyle w:val="Compact"/>
      </w:pPr>
      <w:r>
        <w:t xml:space="preserve">Aluguel cabe com folga</w:t>
      </w:r>
    </w:p>
    <w:p>
      <w:pPr>
        <w:numPr>
          <w:ilvl w:val="0"/>
          <w:numId w:val="1019"/>
        </w:numPr>
        <w:pStyle w:val="Compact"/>
      </w:pPr>
      <w:r>
        <w:t xml:space="preserve">Carro melhor, pago à vista</w:t>
      </w:r>
    </w:p>
    <w:p>
      <w:pPr>
        <w:numPr>
          <w:ilvl w:val="0"/>
          <w:numId w:val="1019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0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0"/>
        </w:numPr>
        <w:pStyle w:val="Compact"/>
      </w:pPr>
      <w:r>
        <w:t xml:space="preserve">Mustang por R$ 69 mil</w:t>
      </w:r>
    </w:p>
    <w:p>
      <w:pPr>
        <w:numPr>
          <w:ilvl w:val="0"/>
          <w:numId w:val="1020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0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2"/>
        </w:numPr>
        <w:pStyle w:val="Compact"/>
      </w:pPr>
      <w:r>
        <w:t xml:space="preserve">Câmbio do banco + spread</w:t>
      </w:r>
    </w:p>
    <w:p>
      <w:pPr>
        <w:numPr>
          <w:ilvl w:val="0"/>
          <w:numId w:val="1022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3"/>
        </w:numPr>
        <w:pStyle w:val="Compact"/>
      </w:pPr>
      <w:r>
        <w:t xml:space="preserve">24 horas, 7 dias</w:t>
      </w:r>
    </w:p>
    <w:p>
      <w:pPr>
        <w:numPr>
          <w:ilvl w:val="0"/>
          <w:numId w:val="1023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3"/>
        </w:numPr>
        <w:pStyle w:val="Compact"/>
      </w:pPr>
      <w:r>
        <w:t xml:space="preserve">Chega em minutos</w:t>
      </w:r>
    </w:p>
    <w:p>
      <w:pPr>
        <w:numPr>
          <w:ilvl w:val="0"/>
          <w:numId w:val="1023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4"/>
        </w:numPr>
        <w:pStyle w:val="Compact"/>
      </w:pPr>
      <w:r>
        <w:t xml:space="preserve">Sobe e desce forte</w:t>
      </w:r>
    </w:p>
    <w:p>
      <w:pPr>
        <w:numPr>
          <w:ilvl w:val="0"/>
          <w:numId w:val="1024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4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5"/>
        </w:numPr>
        <w:pStyle w:val="Compact"/>
      </w:pPr>
      <w:r>
        <w:t xml:space="preserve">Acompanha o dólar</w:t>
      </w:r>
    </w:p>
    <w:p>
      <w:pPr>
        <w:numPr>
          <w:ilvl w:val="0"/>
          <w:numId w:val="1025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5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6"/>
        </w:numPr>
        <w:pStyle w:val="Compact"/>
      </w:pPr>
      <w:r>
        <w:t xml:space="preserve">Mais fácil para começar</w:t>
      </w:r>
    </w:p>
    <w:p>
      <w:pPr>
        <w:numPr>
          <w:ilvl w:val="0"/>
          <w:numId w:val="1026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7"/>
        </w:numPr>
        <w:pStyle w:val="Compact"/>
      </w:pPr>
      <w:r>
        <w:t xml:space="preserve">A empresa guarda por você</w:t>
      </w:r>
    </w:p>
    <w:p>
      <w:pPr>
        <w:numPr>
          <w:ilvl w:val="0"/>
          <w:numId w:val="1027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8"/>
        </w:numPr>
        <w:pStyle w:val="Compact"/>
      </w:pPr>
      <w:r>
        <w:t xml:space="preserve">Só você controla</w:t>
      </w:r>
    </w:p>
    <w:p>
      <w:pPr>
        <w:numPr>
          <w:ilvl w:val="0"/>
          <w:numId w:val="1028"/>
        </w:numPr>
        <w:pStyle w:val="Compact"/>
      </w:pPr>
      <w:r>
        <w:t xml:space="preserve">Ninguém trava seu saldo</w:t>
      </w:r>
    </w:p>
    <w:p>
      <w:pPr>
        <w:numPr>
          <w:ilvl w:val="0"/>
          <w:numId w:val="1029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9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0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0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0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3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3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4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4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4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4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4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4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5"/>
        </w:numPr>
        <w:pStyle w:val="Compact"/>
      </w:pPr>
      <w:r>
        <w:t xml:space="preserve">Escreva à mão, no papel</w:t>
      </w:r>
    </w:p>
    <w:p>
      <w:pPr>
        <w:numPr>
          <w:ilvl w:val="0"/>
          <w:numId w:val="1035"/>
        </w:numPr>
        <w:pStyle w:val="Compact"/>
      </w:pPr>
      <w:r>
        <w:t xml:space="preserve">Guarde em 2 lugares seguros</w:t>
      </w:r>
    </w:p>
    <w:p>
      <w:pPr>
        <w:numPr>
          <w:ilvl w:val="0"/>
          <w:numId w:val="1035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6"/>
        </w:numPr>
        <w:pStyle w:val="Compact"/>
      </w:pPr>
      <w:r>
        <w:t xml:space="preserve">Fotografar ou printar</w:t>
      </w:r>
    </w:p>
    <w:p>
      <w:pPr>
        <w:numPr>
          <w:ilvl w:val="0"/>
          <w:numId w:val="1036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6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7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7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9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9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0"/>
        </w:numPr>
        <w:pStyle w:val="Compact"/>
      </w:pPr>
      <w:r>
        <w:t xml:space="preserve">Comprar USDT no seu CPF</w:t>
      </w:r>
    </w:p>
    <w:p>
      <w:pPr>
        <w:numPr>
          <w:ilvl w:val="0"/>
          <w:numId w:val="1040"/>
        </w:numPr>
        <w:pStyle w:val="Compact"/>
      </w:pPr>
      <w:r>
        <w:t xml:space="preserve">Pix da sua própria conta</w:t>
      </w:r>
    </w:p>
    <w:p>
      <w:pPr>
        <w:numPr>
          <w:ilvl w:val="0"/>
          <w:numId w:val="1040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0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0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1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1"/>
        </w:numPr>
        <w:pStyle w:val="Compact"/>
      </w:pPr>
      <w:r>
        <w:t xml:space="preserve">Dólar-cabo</w:t>
      </w:r>
    </w:p>
    <w:p>
      <w:pPr>
        <w:numPr>
          <w:ilvl w:val="0"/>
          <w:numId w:val="1041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1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1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4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4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4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4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6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6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8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8"/>
        </w:numPr>
        <w:pStyle w:val="Compact"/>
      </w:pPr>
      <w:r>
        <w:t xml:space="preserve">Bom para valores pequenos</w:t>
      </w:r>
    </w:p>
    <w:p>
      <w:pPr>
        <w:numPr>
          <w:ilvl w:val="0"/>
          <w:numId w:val="1049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0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0"/>
        </w:numPr>
        <w:pStyle w:val="Compact"/>
      </w:pPr>
      <w:r>
        <w:t xml:space="preserve">Taxa explícita</w:t>
      </w:r>
    </w:p>
    <w:p>
      <w:pPr>
        <w:numPr>
          <w:ilvl w:val="0"/>
          <w:numId w:val="1050"/>
        </w:numPr>
        <w:pStyle w:val="Compact"/>
      </w:pPr>
      <w:r>
        <w:t xml:space="preserve">Melhor para valores maiores</w:t>
      </w:r>
    </w:p>
    <w:p>
      <w:pPr>
        <w:numPr>
          <w:ilvl w:val="0"/>
          <w:numId w:val="1051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3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3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3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3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3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3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4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4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4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4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5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5"/>
        </w:numPr>
        <w:pStyle w:val="Compact"/>
      </w:pPr>
      <w:r>
        <w:t xml:space="preserve">Envie o equivalente a R$ 50</w:t>
      </w:r>
    </w:p>
    <w:p>
      <w:pPr>
        <w:numPr>
          <w:ilvl w:val="0"/>
          <w:numId w:val="1055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5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5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6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6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6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7"/>
        </w:numPr>
        <w:pStyle w:val="Compact"/>
      </w:pPr>
      <w:r>
        <w:t xml:space="preserve">Mais rápido</w:t>
      </w:r>
    </w:p>
    <w:p>
      <w:pPr>
        <w:numPr>
          <w:ilvl w:val="0"/>
          <w:numId w:val="1057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8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9"/>
        </w:numPr>
        <w:pStyle w:val="Compact"/>
      </w:pPr>
      <w:r>
        <w:t xml:space="preserve">Você define o preço</w:t>
      </w:r>
    </w:p>
    <w:p>
      <w:pPr>
        <w:numPr>
          <w:ilvl w:val="0"/>
          <w:numId w:val="1059"/>
        </w:numPr>
        <w:pStyle w:val="Compact"/>
      </w:pPr>
      <w:r>
        <w:t xml:space="preserve">Bom para valores maiores</w:t>
      </w:r>
    </w:p>
    <w:p>
      <w:pPr>
        <w:numPr>
          <w:ilvl w:val="0"/>
          <w:numId w:val="1060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1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1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1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1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2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2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2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2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2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3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3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3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5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5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5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6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6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7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8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8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69"/>
        </w:numPr>
        <w:pStyle w:val="Compact"/>
      </w:pPr>
      <w:r>
        <w:t xml:space="preserve">Endereço com letra trocada</w:t>
      </w:r>
    </w:p>
    <w:p>
      <w:pPr>
        <w:numPr>
          <w:ilvl w:val="0"/>
          <w:numId w:val="1069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0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0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1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3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3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4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4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4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5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5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5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5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7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7"/>
        </w:numPr>
        <w:pStyle w:val="Compact"/>
      </w:pPr>
      <w:r>
        <w:t xml:space="preserve">Ou delegacia presencial</w:t>
      </w:r>
    </w:p>
    <w:p>
      <w:pPr>
        <w:numPr>
          <w:ilvl w:val="0"/>
          <w:numId w:val="1077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8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8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8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79"/>
        </w:numPr>
        <w:pStyle w:val="Compact"/>
      </w:pPr>
      <w:r>
        <w:t xml:space="preserve">2FA por app na exchange</w:t>
      </w:r>
    </w:p>
    <w:p>
      <w:pPr>
        <w:numPr>
          <w:ilvl w:val="0"/>
          <w:numId w:val="1079"/>
        </w:numPr>
        <w:pStyle w:val="Compact"/>
      </w:pPr>
      <w:r>
        <w:t xml:space="preserve">2FA por app no P2P</w:t>
      </w:r>
    </w:p>
    <w:p>
      <w:pPr>
        <w:numPr>
          <w:ilvl w:val="0"/>
          <w:numId w:val="1079"/>
        </w:numPr>
        <w:pStyle w:val="Compact"/>
      </w:pPr>
      <w:r>
        <w:t xml:space="preserve">2FA no e-mail</w:t>
      </w:r>
    </w:p>
    <w:p>
      <w:pPr>
        <w:numPr>
          <w:ilvl w:val="0"/>
          <w:numId w:val="1079"/>
        </w:numPr>
        <w:pStyle w:val="Compact"/>
      </w:pPr>
      <w:r>
        <w:t xml:space="preserve">E-mail exclusivo</w:t>
      </w:r>
    </w:p>
    <w:p>
      <w:pPr>
        <w:numPr>
          <w:ilvl w:val="0"/>
          <w:numId w:val="1079"/>
        </w:numPr>
        <w:pStyle w:val="Compact"/>
      </w:pPr>
      <w:r>
        <w:t xml:space="preserve">Senha única e longa</w:t>
      </w:r>
    </w:p>
    <w:p>
      <w:pPr>
        <w:numPr>
          <w:ilvl w:val="0"/>
          <w:numId w:val="1079"/>
        </w:numPr>
        <w:pStyle w:val="Compact"/>
      </w:pPr>
      <w:r>
        <w:t xml:space="preserve">Gerenciador de senhas</w:t>
      </w:r>
    </w:p>
    <w:p>
      <w:pPr>
        <w:numPr>
          <w:ilvl w:val="0"/>
          <w:numId w:val="1079"/>
        </w:numPr>
        <w:pStyle w:val="Compact"/>
      </w:pPr>
      <w:r>
        <w:t xml:space="preserve">Código anti-phishing</w:t>
      </w:r>
    </w:p>
    <w:p>
      <w:pPr>
        <w:numPr>
          <w:ilvl w:val="0"/>
          <w:numId w:val="1079"/>
        </w:numPr>
        <w:pStyle w:val="Compact"/>
      </w:pPr>
      <w:r>
        <w:t xml:space="preserve">Whitelist ativa</w:t>
      </w:r>
    </w:p>
    <w:p>
      <w:pPr>
        <w:numPr>
          <w:ilvl w:val="0"/>
          <w:numId w:val="1079"/>
        </w:numPr>
        <w:pStyle w:val="Compact"/>
      </w:pPr>
      <w:r>
        <w:t xml:space="preserve">PIN no chip</w:t>
      </w:r>
    </w:p>
    <w:p>
      <w:pPr>
        <w:numPr>
          <w:ilvl w:val="0"/>
          <w:numId w:val="1079"/>
        </w:numPr>
        <w:pStyle w:val="Compact"/>
      </w:pPr>
      <w:r>
        <w:t xml:space="preserve">Bloqueio de tela forte</w:t>
      </w:r>
    </w:p>
    <w:p>
      <w:pPr>
        <w:numPr>
          <w:ilvl w:val="0"/>
          <w:numId w:val="1080"/>
        </w:numPr>
        <w:pStyle w:val="Compact"/>
      </w:pPr>
      <w:r>
        <w:t xml:space="preserve">Apps só da loja oficial</w:t>
      </w:r>
    </w:p>
    <w:p>
      <w:pPr>
        <w:numPr>
          <w:ilvl w:val="0"/>
          <w:numId w:val="1080"/>
        </w:numPr>
        <w:pStyle w:val="Compact"/>
      </w:pPr>
      <w:r>
        <w:t xml:space="preserve">Seed no papel, em 2 lugares</w:t>
      </w:r>
    </w:p>
    <w:p>
      <w:pPr>
        <w:numPr>
          <w:ilvl w:val="0"/>
          <w:numId w:val="1080"/>
        </w:numPr>
        <w:pStyle w:val="Compact"/>
      </w:pPr>
      <w:r>
        <w:t xml:space="preserve">Nada na galeria</w:t>
      </w:r>
    </w:p>
    <w:p>
      <w:pPr>
        <w:numPr>
          <w:ilvl w:val="0"/>
          <w:numId w:val="1080"/>
        </w:numPr>
        <w:pStyle w:val="Compact"/>
      </w:pPr>
      <w:r>
        <w:t xml:space="preserve">Teste de R$ 50 sempre</w:t>
      </w:r>
    </w:p>
    <w:p>
      <w:pPr>
        <w:numPr>
          <w:ilvl w:val="0"/>
          <w:numId w:val="1080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0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0"/>
        </w:numPr>
        <w:pStyle w:val="Compact"/>
      </w:pPr>
      <w:r>
        <w:t xml:space="preserve">Nome do pagador confere</w:t>
      </w:r>
    </w:p>
    <w:p>
      <w:pPr>
        <w:numPr>
          <w:ilvl w:val="0"/>
          <w:numId w:val="1080"/>
        </w:numPr>
        <w:pStyle w:val="Compact"/>
      </w:pPr>
      <w:r>
        <w:t xml:space="preserve">Nunca negociar por fora</w:t>
      </w:r>
    </w:p>
    <w:p>
      <w:pPr>
        <w:numPr>
          <w:ilvl w:val="0"/>
          <w:numId w:val="1080"/>
        </w:numPr>
        <w:pStyle w:val="Compact"/>
      </w:pPr>
      <w:r>
        <w:t xml:space="preserve">Nada de encontro presencial</w:t>
      </w:r>
    </w:p>
    <w:p>
      <w:pPr>
        <w:numPr>
          <w:ilvl w:val="0"/>
          <w:numId w:val="1080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40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8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8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8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8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38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38"/>
    <w:bookmarkStart w:id="239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39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41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r>
        <w:t xml:space="preserve">“Arrecadação de impostos bate recorde em 2025 e atinge R$ 2,89 trilhões”</w:t>
      </w:r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r>
        <w:t xml:space="preserve">“Governo Lula: novo imposto a cada 27 dias e carga recorde”</w:t>
      </w:r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r>
        <w:t xml:space="preserve">“Lula aumentou impostos 27 vezes em 3 anos no Planalto”</w:t>
      </w:r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41"/>
    <w:p>
      <w:r>
        <w:pict>
          <v:rect style="width:0;height:1.5pt" o:hralign="center" o:hrstd="t" o:hr="t"/>
        </w:pict>
      </w:r>
    </w:p>
    <w:bookmarkStart w:id="242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r>
        <w:t xml:space="preserve">“Lista dos impostos que o governo Lula criou ou elevou”</w:t>
      </w:r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r>
        <w:t xml:space="preserve">“Haddad desiste de zerar IOF do cartão internacional e sobe para 3,5%”</w:t>
      </w:r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r>
        <w:t xml:space="preserve">“Saiba como fica o IOF após decisão de Moraes”</w:t>
      </w:r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242"/>
    <w:p>
      <w:r>
        <w:pict>
          <v:rect style="width:0;height:1.5pt" o:hralign="center" o:hrstd="t" o:hr="t"/>
        </w:pict>
      </w:r>
    </w:p>
    <w:bookmarkStart w:id="243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r>
        <w:t xml:space="preserve">“Dívida pública avança a 82,9% do PIB e bate R$ 11 trilhões sob Lula”</w:t>
      </w:r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r>
        <w:t xml:space="preserve">“Dívida pública brasileira alcança R$ 11 trilhões e chega a 82,9% do PIB”</w:t>
      </w:r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r>
        <w:t xml:space="preserve">“Sob Lula, arrecadação bate recorde, mas déficit permanece acima de R$ 1 tri pelo 3º ano seguido”</w:t>
      </w:r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243"/>
    <w:p>
      <w:r>
        <w:pict>
          <v:rect style="width:0;height:1.5pt" o:hralign="center" o:hrstd="t" o:hr="t"/>
        </w:pict>
      </w:r>
    </w:p>
    <w:bookmarkStart w:id="244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r>
        <w:t xml:space="preserve">“Pix: Golpes crescem 80% e somam R$ 6,5 bi em 2024”</w:t>
      </w:r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r>
        <w:t xml:space="preserve">“Governo Lula eleva Imposto de Importação e trava investimentos”</w:t>
      </w:r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r>
        <w:t xml:space="preserve">“Governo pretende cobrar IOF sobre operações com criptomoedas”</w:t>
      </w:r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2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245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r>
        <w:t xml:space="preserve">“Governo admite deixar “herança” de dívida pública em 90% do PIB”</w:t>
      </w:r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r>
        <w:t xml:space="preserve">“Brasil crescerá 2,4% em 2026 e dívida se aproxima de 100% do PIB”</w:t>
      </w:r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r>
        <w:t xml:space="preserve">“Instituição do Senado diz que ajuste fiscal será inevitável”</w:t>
      </w:r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45"/>
    <w:p>
      <w:r>
        <w:pict>
          <v:rect style="width:0;height:1.5pt" o:hralign="center" o:hrstd="t" o:hr="t"/>
        </w:pict>
      </w:r>
    </w:p>
    <w:bookmarkStart w:id="2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r>
        <w:t xml:space="preserve">“Governo Lula prepara cobrança do IOF sobre investimentos isentos sem passar pelo Congresso”</w:t>
      </w:r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r>
        <w:t xml:space="preserve">“O Leão insaciável: arrecadação é recorde em 2025, mas governo quer mais impostos em 2026”</w:t>
      </w:r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r>
        <w:t xml:space="preserve">“Golpes via Pix podem custar R$ 11 bi a brasileiros até 2028”</w:t>
      </w:r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46"/>
    <w:p>
      <w:r>
        <w:pict>
          <v:rect style="width:0;height:1.5pt" o:hralign="center" o:hrstd="t" o:hr="t"/>
        </w:pict>
      </w:r>
    </w:p>
    <w:bookmarkStart w:id="247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r>
        <w:t xml:space="preserve">“BC exige retenção de até 24 horas em envios de cripto ao exterior a partir de 2027”</w:t>
      </w:r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248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49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11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12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13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14</w:t>
      </w:r>
      <w:r>
        <w:t xml:space="preserve">INDEC Argentina (IPC 2023, 2024 e 2025); MercoPress (10/11/2025); posses oficiais.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15</w:t>
      </w:r>
      <w:r>
        <w:t xml:space="preserve">IFI via Forbes, 27/10/2026 (ajuste fiscal); Decretos 12.466 e 12.499/2025 (IOF).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16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18</w:t>
      </w:r>
      <w:r>
        <w:t xml:space="preserve">Mesmas fontes e câmbios da página anterior. Cálculo do autor do curso.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p. 20</w:t>
      </w:r>
      <w:r>
        <w:t xml:space="preserve">Agência Brasil e Poder360 (19/10/2025); MercoPress (10/11/2025); France 24 via Acento (08/11/2025); usdthoy.com (flutuação desde 29/06/2026).</w:t>
      </w:r>
    </w:p>
    <w:bookmarkEnd w:id="249"/>
    <w:p>
      <w:r>
        <w:pict>
          <v:rect style="width:0;height:1.5pt" o:hralign="center" o:hrstd="t" o:hr="t"/>
        </w:pic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21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22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23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24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31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34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38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39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40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43</w:t>
      </w:r>
      <w:r>
        <w:t xml:space="preserve">Câmbio de referência do autor (28/10/2026).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56</w:t>
      </w:r>
      <w:r>
        <w:t xml:space="preserve">International Medical Relief (pacote Clínica Alemana). US$ 1 = R$ 5,35.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106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107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p. 109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112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116</w:t>
      </w:r>
      <w:r>
        <w:t xml:space="preserve">Investidor10 e CoinMarketCap, 28/10/2026.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117</w:t>
      </w:r>
      <w:r>
        <w:t xml:space="preserve">eco.com, comparativo de taxas de rede, mai/2026.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120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121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126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127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129</w:t>
      </w:r>
      <w:r>
        <w:t xml:space="preserve">Escopo do curso, Seção 2.1 (exemplo-padrão).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132</w:t>
      </w:r>
      <w:r>
        <w:t xml:space="preserve">Poder360 (Res. BCB 521: limite de US$ 100 mil); Blocktrends (Res. 584).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133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136</w:t>
      </w:r>
      <w:r>
        <w:t xml:space="preserve">Escopo do curso, Seção 3.5; Lei 14.478/2022; Res. BCB 519 e 520.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138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p. 142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143</w:t>
      </w:r>
      <w:r>
        <w:t xml:space="preserve">Exame (pirâmide EBDOX: cobrança de “caução” de 5% para liberar valores).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150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152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153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p. 165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2026-10-28T19:05:56Z</dcterms:created>
  <dcterms:modified xsi:type="dcterms:W3CDTF">2026-10-28T19:05:56Z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