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CBA93">
      <w:pPr>
        <w:bidi w:val="0"/>
        <w:ind w:left="2001" w:leftChars="200" w:hanging="1601" w:hangingChars="400"/>
        <w:rPr>
          <w:b/>
          <w:bCs/>
          <w:sz w:val="40"/>
          <w:szCs w:val="40"/>
        </w:rPr>
      </w:pPr>
      <w:bookmarkStart w:id="0" w:name="_GoBack"/>
      <w:r>
        <w:rPr>
          <w:b/>
          <w:bCs/>
          <w:sz w:val="40"/>
          <w:szCs w:val="40"/>
        </w:rPr>
        <w:t>İçeriden Başlatılan Veri Sızıntısı</w:t>
      </w:r>
      <w:bookmarkEnd w:id="0"/>
      <w:r>
        <w:rPr>
          <w:b/>
          <w:bCs/>
          <w:sz w:val="40"/>
          <w:szCs w:val="40"/>
        </w:rPr>
        <w:t xml:space="preserve"> — Toplu Belge İndirme ve Harici Yüklem</w:t>
      </w:r>
    </w:p>
    <w:p w14:paraId="2388C550">
      <w:pPr>
        <w:bidi w:val="0"/>
        <w:rPr>
          <w:rFonts w:hint="default"/>
          <w:b w:val="0"/>
          <w:bCs w:val="0"/>
          <w:sz w:val="28"/>
          <w:szCs w:val="28"/>
          <w:lang w:val="tr-TR"/>
        </w:rPr>
      </w:pPr>
    </w:p>
    <w:p w14:paraId="477901C7">
      <w:pPr>
        <w:bidi w:val="0"/>
        <w:rPr>
          <w:rFonts w:hint="default"/>
          <w:b w:val="0"/>
          <w:bCs w:val="0"/>
          <w:sz w:val="28"/>
          <w:szCs w:val="28"/>
          <w:lang w:val="tr-TR"/>
        </w:rPr>
      </w:pPr>
    </w:p>
    <w:p w14:paraId="41FC3020">
      <w:pPr>
        <w:numPr>
          <w:ilvl w:val="0"/>
          <w:numId w:val="1"/>
        </w:numPr>
        <w:bidi w:val="0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28"/>
          <w:szCs w:val="28"/>
          <w:lang w:val="tr-TR"/>
        </w:rPr>
        <w:t>Anomali Tanımı</w:t>
      </w:r>
    </w:p>
    <w:p w14:paraId="7E827E13">
      <w:pPr>
        <w:numPr>
          <w:ilvl w:val="0"/>
          <w:numId w:val="0"/>
        </w:numPr>
        <w:bidi w:val="0"/>
        <w:rPr>
          <w:rFonts w:hint="default"/>
          <w:b w:val="0"/>
          <w:bCs w:val="0"/>
          <w:sz w:val="28"/>
          <w:szCs w:val="28"/>
          <w:lang w:val="tr-TR"/>
        </w:rPr>
      </w:pPr>
    </w:p>
    <w:p w14:paraId="4922BAC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 sızıntısı anomalisi</w:t>
      </w:r>
      <w:r>
        <w:t xml:space="preserve">, bir bilgi sisteminde kullanıcıların normal veri erişim, indirme veya paylaşım alışkanlıklarından sapma göstererek </w:t>
      </w:r>
      <w:r>
        <w:rPr>
          <w:rStyle w:val="7"/>
        </w:rPr>
        <w:t>hassas bilgilerin yetkisiz ortamlara aktarılması, kopyalanması ya da dışa sızdırılması</w:t>
      </w:r>
      <w:r>
        <w:t xml:space="preserve"> durumudur.</w:t>
      </w:r>
    </w:p>
    <w:p w14:paraId="50100F36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28"/>
          <w:szCs w:val="28"/>
          <w:lang w:val="tr-TR"/>
        </w:rPr>
        <w:t>Olası Nedenler</w:t>
      </w:r>
    </w:p>
    <w:p w14:paraId="40680D3F">
      <w:pPr>
        <w:numPr>
          <w:ilvl w:val="0"/>
          <w:numId w:val="0"/>
        </w:numPr>
        <w:bidi w:val="0"/>
        <w:ind w:leftChars="0"/>
        <w:jc w:val="center"/>
        <w:rPr>
          <w:rFonts w:hint="default"/>
          <w:b w:val="0"/>
          <w:bCs w:val="0"/>
          <w:sz w:val="28"/>
          <w:szCs w:val="28"/>
          <w:lang w:val="tr-TR"/>
        </w:rPr>
      </w:pPr>
    </w:p>
    <w:p w14:paraId="46AC62FF">
      <w:pPr>
        <w:numPr>
          <w:ilvl w:val="0"/>
          <w:numId w:val="0"/>
        </w:numPr>
        <w:bidi w:val="0"/>
        <w:ind w:leftChars="0"/>
        <w:jc w:val="center"/>
        <w:rPr>
          <w:rFonts w:hint="default"/>
          <w:b w:val="0"/>
          <w:bCs w:val="0"/>
          <w:sz w:val="28"/>
          <w:szCs w:val="28"/>
          <w:lang w:val="tr-TR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2205"/>
        <w:gridCol w:w="4754"/>
      </w:tblGrid>
      <w:tr w14:paraId="7EC5B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CD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Kategori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9A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Olası Sebep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817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Açıklama</w:t>
            </w:r>
          </w:p>
        </w:tc>
      </w:tr>
      <w:tr w14:paraId="3FCA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EC2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İnsan Kaynaklı Hatalar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D32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Yanlışlıkla veri paylaşımı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7AE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Kullanıcılar farkında olmadan gizli dosyaları yetkisiz kişilerle paylaşabilir veya e-postaya yanlış alıcı ekleyebilir.</w:t>
            </w:r>
          </w:p>
        </w:tc>
      </w:tr>
      <w:tr w14:paraId="1DEDA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0BF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İnsan Kaynaklı Hatalar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9E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Güvenlik farkındalığı eksikliği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83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Çalışanlar veri güvenliği konusunda yeterince eğitimli olmadığında yanlışlıkla veri sızdırabilir.</w:t>
            </w:r>
          </w:p>
        </w:tc>
      </w:tr>
      <w:tr w14:paraId="1A9BC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CB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İç Tehditler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05B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Kötü niyetli çalışan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E2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Çalışanlar bilerek hassas verileri kopyalayabilir, dışa aktarabilir veya paylaşabilir.</w:t>
            </w:r>
          </w:p>
        </w:tc>
      </w:tr>
      <w:tr w14:paraId="49143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6F9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Dış Kaynaklı Saldırılar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1A7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Kimlik avı / hesap ele geçirme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010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Saldırganlar kullanıcı hesaplarını ele geçirerek hassas verilere yetkisiz erişim sağlayabilir.</w:t>
            </w:r>
          </w:p>
        </w:tc>
      </w:tr>
      <w:tr w14:paraId="0A59A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922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Dış Kaynaklı Saldırılar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BC3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Zararlı yazılım (malware)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16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Malware veya keylogger gibi kötü amaçlı yazılımlar sistemden veri çalabilir.</w:t>
            </w:r>
          </w:p>
        </w:tc>
      </w:tr>
      <w:tr w14:paraId="2F99D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B36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Sistem Zafiyetleri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E8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Yetersiz erişim kontrolleri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42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Dosya izinleri veya şifreleme eksikliği nedeniyle yetkisiz erişim veya veri sızıntısı gerçekleşebilir.</w:t>
            </w:r>
          </w:p>
        </w:tc>
      </w:tr>
      <w:tr w14:paraId="07801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1BC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Sistem Zafiyetleri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2A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Güncellenmemiş yazılım / açıklar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85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Güncel olmayan yazılımlar ve açıklar saldırganların veri ele geçirmesine yol açabilir.</w:t>
            </w:r>
          </w:p>
        </w:tc>
      </w:tr>
      <w:tr w14:paraId="2FEF5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2DC2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Üçüncü Taraf Riskleri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780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Tedarikçi veya partner erişimi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08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Ortak kullanılan bulut veya partner sistemleri yeterince güvenli değilse veri sızabilir.</w:t>
            </w:r>
          </w:p>
        </w:tc>
      </w:tr>
      <w:tr w14:paraId="3D31A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518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Teknik Hatalar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FFD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Yanlış yapılandırma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743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Sunucu, veritabanı veya bulut depolama hatalı yapılandırıldığında veri yanlış kişilere erişebilir.</w:t>
            </w:r>
          </w:p>
        </w:tc>
      </w:tr>
      <w:tr w14:paraId="5001E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17B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Teknik Hatalar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E6B3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 ve izleme eksikliği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EDE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Erişim ve indirme aktiviteleri izlenmezse sızıntılar geç fark edilir.</w:t>
            </w:r>
          </w:p>
        </w:tc>
      </w:tr>
    </w:tbl>
    <w:p w14:paraId="45DC85B9">
      <w:pPr>
        <w:numPr>
          <w:ilvl w:val="0"/>
          <w:numId w:val="0"/>
        </w:numPr>
        <w:bidi w:val="0"/>
        <w:ind w:leftChars="0"/>
        <w:jc w:val="center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28"/>
          <w:szCs w:val="28"/>
          <w:lang w:val="tr-TR"/>
        </w:rPr>
        <w:br w:type="textWrapping"/>
      </w:r>
    </w:p>
    <w:p w14:paraId="35D4B441">
      <w:pPr>
        <w:numPr>
          <w:ilvl w:val="0"/>
          <w:numId w:val="0"/>
        </w:numPr>
        <w:bidi w:val="0"/>
        <w:ind w:leftChars="0"/>
        <w:jc w:val="center"/>
        <w:rPr>
          <w:rFonts w:hint="default"/>
          <w:b w:val="0"/>
          <w:bCs w:val="0"/>
          <w:sz w:val="28"/>
          <w:szCs w:val="28"/>
          <w:lang w:val="tr-TR"/>
        </w:rPr>
      </w:pPr>
    </w:p>
    <w:p w14:paraId="317C42FD">
      <w:pPr>
        <w:numPr>
          <w:ilvl w:val="0"/>
          <w:numId w:val="0"/>
        </w:numPr>
        <w:bidi w:val="0"/>
        <w:ind w:leftChars="0"/>
        <w:jc w:val="center"/>
        <w:rPr>
          <w:rFonts w:hint="default"/>
          <w:b w:val="0"/>
          <w:bCs w:val="0"/>
          <w:sz w:val="28"/>
          <w:szCs w:val="28"/>
          <w:lang w:val="tr-TR"/>
        </w:rPr>
      </w:pPr>
    </w:p>
    <w:p w14:paraId="74BCA54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tr-TR"/>
        </w:rPr>
      </w:pPr>
    </w:p>
    <w:p w14:paraId="737F66DF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28"/>
          <w:szCs w:val="28"/>
          <w:lang w:val="tr-TR"/>
        </w:rPr>
        <w:t>Olası Riskler ve Etkiler</w:t>
      </w:r>
    </w:p>
    <w:p w14:paraId="43759E0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Hassas müşteri veya finansal bilgilerin sızması sonucunda doğrudan maddi kayıp veya cezai yaptırımlar oluşabilir.</w:t>
      </w:r>
    </w:p>
    <w:p w14:paraId="325581B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KVKK, GDPR veya diğer veri koruma kanunlarının ihlali nedeniyle kurum yasal sorumluluk altına girebilir.</w:t>
      </w:r>
    </w:p>
    <w:p w14:paraId="5F8A9EA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Müşteri ve iş ortaklarının güven kaybı, marka değerinde düşüş ve kamu itibarının zarar görmesi.</w:t>
      </w:r>
    </w:p>
    <w:p w14:paraId="005230D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Sızıntı sonrası sistemlerin geçici olarak kapatılması veya erişimlerin kısıtlanması, iş süreçlerini aksatabilir.</w:t>
      </w:r>
    </w:p>
    <w:p w14:paraId="33D2989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Gizli stratejik bilgiler veya ürün verilerinin rakiplere sızması kurumu pazarda zayıf konuma düşürebilir.</w:t>
      </w:r>
    </w:p>
    <w:p w14:paraId="394C8F6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Kişisel verilerin sızması müşteri bağlılığını ve güvenini olumsuz etkiler.</w:t>
      </w:r>
    </w:p>
    <w:p w14:paraId="3A5BEAF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Sızan bilgiler kötü niyetli iç kullanıcılar veya çalışanlar tarafından kötüye kullanılabilir.</w:t>
      </w:r>
    </w:p>
    <w:p w14:paraId="17ED511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Olay sonrası sistem iyileştirme, olay müdahale ve güvenlik yatırımları maliyetleri artırır.</w:t>
      </w:r>
    </w:p>
    <w:p w14:paraId="4FEA042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4717672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tr-TR"/>
        </w:rPr>
      </w:pPr>
      <w:r>
        <w:rPr>
          <w:rFonts w:hint="default"/>
          <w:lang w:val="tr-TR"/>
        </w:rPr>
        <w:t xml:space="preserve">İlgili Standart Referans </w:t>
      </w:r>
    </w:p>
    <w:p w14:paraId="168B7CC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Bilgi güvenliği risklerinin yönetilmesi ve veri sızıntılarının önlenmesi için temel standarttır.</w:t>
      </w:r>
    </w:p>
    <w:p w14:paraId="60A846C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Kurumların güvenlik politikaları, prosedürler ve kontrol mekanizmalarını belirlemesine yardımcı olur.</w:t>
      </w:r>
    </w:p>
    <w:p w14:paraId="1618F88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ISO 27001 kapsamında uygulanabilecek spesifik güvenlik kontrollerini içerir.</w:t>
      </w:r>
    </w:p>
    <w:p w14:paraId="67A02E3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Erişim kontrolü, veri sınıflandırması ve DLP (Data Loss Prevention) uygulamalarıyla veri sızıntısını önlemeye yöneliktir.</w:t>
      </w:r>
    </w:p>
    <w:p w14:paraId="2E0296E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ABD Ulusal Standartlar ve Teknoloji Enstitüsü (NIST) tarafından yayımlanan güvenlik ve gizlilik kontrol çerçevesi.</w:t>
      </w:r>
    </w:p>
    <w:p w14:paraId="311ACA1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Veri sızıntısı önleme, kullanıcı erişim yönetimi ve olay müdahale süreçleri için rehberlik sağlar.</w:t>
      </w:r>
    </w:p>
    <w:p w14:paraId="4230262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Güvenlik olaylarının yönetimi ve müdahalesi için rehber sunar.</w:t>
      </w:r>
    </w:p>
    <w:p w14:paraId="6503F0F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Veri sızıntısı anomali tespit ve müdahale süreçleri için standartlaştırılmış yöntemleri içerir.</w:t>
      </w:r>
    </w:p>
    <w:p w14:paraId="3D0320E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Özellikle ödeme sistemlerinde kart verilerinin güvenliğini sağlamaya yöneliktir.</w:t>
      </w:r>
    </w:p>
    <w:p w14:paraId="439463A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Hassas finansal bilgilerin sızmasını önlemek için erişim kontrolü ve veri izleme kurallarını içerir.</w:t>
      </w:r>
    </w:p>
    <w:p w14:paraId="1E38E37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Kişisel verilerin korunması ve yetkisiz erişim veya sızıntıların önlenmesi ile ilgili yasal çerçevedir.</w:t>
      </w:r>
    </w:p>
    <w:p w14:paraId="7411896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Veri sızıntısı anomali tespit ve raporlama gerekliliklerini düzenler.</w:t>
      </w:r>
    </w:p>
    <w:p w14:paraId="25CB66C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Avrupa’da kişisel verilerin korunmasına yönelik kanun.</w:t>
      </w:r>
    </w:p>
    <w:p w14:paraId="1E9CA81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Veri sızıntısı olaylarında bildirim yükümlülükleri ve güvenlik önlemleri standartlarını belirler.</w:t>
      </w:r>
    </w:p>
    <w:p w14:paraId="1B850E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tr-TR"/>
        </w:rPr>
      </w:pPr>
    </w:p>
    <w:p w14:paraId="58227CF1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tr-TR"/>
        </w:rPr>
      </w:pPr>
    </w:p>
    <w:p w14:paraId="3CACBDD1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28"/>
          <w:szCs w:val="28"/>
          <w:lang w:val="tr-TR"/>
        </w:rPr>
        <w:t>Çözüm Önerileri</w:t>
      </w:r>
    </w:p>
    <w:p w14:paraId="0D7B9596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tr-TR"/>
        </w:rPr>
      </w:pPr>
    </w:p>
    <w:p w14:paraId="12193C6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Erişim Kontrolleri:</w:t>
      </w:r>
      <w:r>
        <w:t xml:space="preserve"> Kullanıcıların sadece gerekli verilere erişmesini sağla.</w:t>
      </w:r>
    </w:p>
    <w:p w14:paraId="3476B4D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Veri Sınıflandırması:</w:t>
      </w:r>
      <w:r>
        <w:t xml:space="preserve"> Hassas verileri etiketle ve koruma seviyesini belirle.</w:t>
      </w:r>
    </w:p>
    <w:p w14:paraId="0A12D30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DLP Sistemleri:</w:t>
      </w:r>
      <w:r>
        <w:t xml:space="preserve"> Yetkisiz veri aktarımını engelle.</w:t>
      </w:r>
    </w:p>
    <w:p w14:paraId="2D2FF90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MFA ve Güçlü Parola:</w:t>
      </w:r>
      <w:r>
        <w:t xml:space="preserve"> Hesap ele geçirilmesini önle.</w:t>
      </w:r>
    </w:p>
    <w:p w14:paraId="4188E54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Anomali Tespiti:</w:t>
      </w:r>
      <w:r>
        <w:t xml:space="preserve"> Olağandışı veri erişimlerini gerçek zamanlı izle.</w:t>
      </w:r>
    </w:p>
    <w:p w14:paraId="6A45BCA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Güvenlik Eğitimi:</w:t>
      </w:r>
      <w:r>
        <w:t xml:space="preserve"> Çalışan farkındalığını artır.</w:t>
      </w:r>
    </w:p>
    <w:p w14:paraId="4CD0EC8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Sistem Güncellemeleri:</w:t>
      </w:r>
      <w:r>
        <w:t xml:space="preserve"> Yazılım ve altyapıyı güvenli tut.</w:t>
      </w:r>
    </w:p>
    <w:p w14:paraId="2BCFE4A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Olay Müdahale Planı:</w:t>
      </w:r>
      <w:r>
        <w:t xml:space="preserve"> Sızıntı durumunda hızlı ve sistematik müdahale sağla.</w:t>
      </w:r>
    </w:p>
    <w:p w14:paraId="1909CB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7"/>
        </w:rPr>
        <w:t>Şifreleme:</w:t>
      </w:r>
      <w:r>
        <w:t xml:space="preserve"> Verileri depolama ve transferde koru.</w:t>
      </w:r>
    </w:p>
    <w:p w14:paraId="576B3DD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0EA4A17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SimSun" w:hAnsi="SimSun" w:eastAsia="SimSun" w:cs="SimSun"/>
          <w:sz w:val="24"/>
          <w:lang w:val="tr-TR"/>
        </w:rPr>
      </w:pPr>
      <w:r>
        <w:rPr>
          <w:rFonts w:hint="default" w:ascii="SimSun" w:hAnsi="SimSun" w:eastAsia="SimSun" w:cs="SimSun"/>
          <w:sz w:val="24"/>
          <w:lang w:val="tr-TR"/>
        </w:rPr>
        <w:t>Sonuç ve Değerlendirme</w:t>
      </w:r>
    </w:p>
    <w:p w14:paraId="5A5C8E47">
      <w:pPr>
        <w:numPr>
          <w:ilvl w:val="0"/>
          <w:numId w:val="0"/>
        </w:numPr>
        <w:bidi w:val="0"/>
        <w:ind w:leftChars="0"/>
        <w:jc w:val="both"/>
        <w:rPr>
          <w:rFonts w:hint="eastAsia" w:ascii="SimSun" w:hAnsi="SimSun" w:eastAsia="SimSun" w:cs="SimSun"/>
          <w:sz w:val="24"/>
        </w:rPr>
      </w:pPr>
      <w:r>
        <w:rPr>
          <w:rFonts w:hint="default" w:ascii="SimSun" w:hAnsi="SimSun" w:eastAsia="SimSun" w:cs="SimSun"/>
          <w:sz w:val="24"/>
          <w:lang w:val="tr-TR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0AF1EA83">
      <w:pPr>
        <w:pStyle w:val="6"/>
        <w:keepNext w:val="0"/>
        <w:keepLines w:val="0"/>
        <w:widowControl/>
        <w:suppressLineNumbers w:val="0"/>
      </w:pPr>
      <w:r>
        <w:t xml:space="preserve">Veri sızıntısı anomalileri, bir kurumun </w:t>
      </w:r>
      <w:r>
        <w:rPr>
          <w:rStyle w:val="7"/>
        </w:rPr>
        <w:t>gizli ve hassas verilerinin yetkisiz şekilde dışa aktarılması veya paylaşılması</w:t>
      </w:r>
      <w:r>
        <w:t xml:space="preserve"> ile ortaya çıkan ciddi güvenlik riskleridir. Bu tür anomaliler; finansal kayıp, hukuki yaptırımlar, itibar kaybı ve müşteri güveninin zedelenmesi gibi olumsuz etkilere yol açabilir.</w:t>
      </w:r>
    </w:p>
    <w:p w14:paraId="53752D46">
      <w:pPr>
        <w:pStyle w:val="6"/>
        <w:keepNext w:val="0"/>
        <w:keepLines w:val="0"/>
        <w:widowControl/>
        <w:suppressLineNumbers w:val="0"/>
      </w:pPr>
      <w:r>
        <w:t xml:space="preserve">Olası nedenler arasında </w:t>
      </w:r>
      <w:r>
        <w:rPr>
          <w:rStyle w:val="7"/>
        </w:rPr>
        <w:t>insan hataları, kötü niyetli iç kullanıcılar, dış saldırılar, sistem zafiyetleri ve teknik hatalar</w:t>
      </w:r>
      <w:r>
        <w:t xml:space="preserve"> yer alır. Bu nedenle veri sızıntısı riskinin etkin şekilde yönetilmesi için </w:t>
      </w:r>
      <w:r>
        <w:rPr>
          <w:rStyle w:val="7"/>
        </w:rPr>
        <w:t>erişim kontrolleri, veri sınıflandırması, DLP sistemleri, güçlü kimlik doğrulama, anomali tespit mekanizmaları ve düzenli güvenlik eğitimleri</w:t>
      </w:r>
      <w:r>
        <w:t xml:space="preserve"> uygulanmalıdır.</w:t>
      </w:r>
    </w:p>
    <w:p w14:paraId="099EFDE2">
      <w:pPr>
        <w:pStyle w:val="6"/>
        <w:keepNext w:val="0"/>
        <w:keepLines w:val="0"/>
        <w:widowControl/>
        <w:suppressLineNumbers w:val="0"/>
      </w:pPr>
      <w:r>
        <w:t xml:space="preserve">Sonuç olarak, veri sızıntısı anomalilerinin </w:t>
      </w:r>
      <w:r>
        <w:rPr>
          <w:rStyle w:val="7"/>
        </w:rPr>
        <w:t>erken tespiti ve etkili müdahale</w:t>
      </w:r>
      <w:r>
        <w:t xml:space="preserve"> mekanizmalarının kurulması, kurumun hem </w:t>
      </w:r>
      <w:r>
        <w:rPr>
          <w:rStyle w:val="7"/>
        </w:rPr>
        <w:t>veri güvenliğini sağlamak</w:t>
      </w:r>
      <w:r>
        <w:t xml:space="preserve"> hem de </w:t>
      </w:r>
      <w:r>
        <w:rPr>
          <w:rStyle w:val="7"/>
        </w:rPr>
        <w:t>yasal ve operasyonel riskleri azaltmak</w:t>
      </w:r>
      <w:r>
        <w:t xml:space="preserve"> açısından kritik öneme sahiptir.</w:t>
      </w:r>
    </w:p>
    <w:p w14:paraId="1A50D476">
      <w:pPr>
        <w:numPr>
          <w:ilvl w:val="0"/>
          <w:numId w:val="0"/>
        </w:numPr>
        <w:bidi w:val="0"/>
        <w:ind w:leftChars="0"/>
        <w:jc w:val="both"/>
        <w:rPr>
          <w:rFonts w:hint="default" w:ascii="SimSun" w:hAnsi="SimSun" w:eastAsia="SimSun" w:cs="SimSun"/>
          <w:sz w:val="24"/>
          <w:lang w:val="tr-TR"/>
        </w:rPr>
      </w:pPr>
    </w:p>
    <w:p w14:paraId="474CEA18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SimSun" w:hAnsi="SimSun" w:eastAsia="SimSun" w:cs="SimSun"/>
          <w:sz w:val="24"/>
          <w:lang w:val="tr-TR"/>
        </w:rPr>
      </w:pPr>
      <w:r>
        <w:rPr>
          <w:rFonts w:hint="default" w:ascii="SimSun" w:hAnsi="SimSun" w:eastAsia="SimSun" w:cs="SimSun"/>
          <w:sz w:val="24"/>
          <w:lang w:val="tr-TR"/>
        </w:rPr>
        <w:t>Kaynakça</w:t>
      </w:r>
    </w:p>
    <w:p w14:paraId="2F43BC4A">
      <w:pPr>
        <w:numPr>
          <w:ilvl w:val="0"/>
          <w:numId w:val="0"/>
        </w:numPr>
        <w:bidi w:val="0"/>
        <w:ind w:leftChars="0"/>
        <w:jc w:val="both"/>
        <w:rPr>
          <w:rFonts w:hint="default" w:ascii="SimSun" w:hAnsi="SimSun" w:eastAsia="SimSun" w:cs="SimSun"/>
          <w:sz w:val="24"/>
          <w:lang w:val="tr-TR"/>
        </w:rPr>
      </w:pPr>
    </w:p>
    <w:p w14:paraId="293769A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ISO/IEC 27001:2013 – </w:t>
      </w:r>
      <w:r>
        <w:rPr>
          <w:rStyle w:val="5"/>
        </w:rPr>
        <w:t>Information Security Management Systems (ISMS) Requirements</w:t>
      </w:r>
      <w:r>
        <w:t>, International Organization for Standardization.</w:t>
      </w:r>
    </w:p>
    <w:p w14:paraId="11A494B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ISO/IEC 27002:2013 – </w:t>
      </w:r>
      <w:r>
        <w:rPr>
          <w:rStyle w:val="5"/>
        </w:rPr>
        <w:t>Information Security Controls</w:t>
      </w:r>
      <w:r>
        <w:t>, International Organization for Standardization.</w:t>
      </w:r>
    </w:p>
    <w:p w14:paraId="1E16371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NIST SP 800-53 – </w:t>
      </w:r>
      <w:r>
        <w:rPr>
          <w:rStyle w:val="5"/>
        </w:rPr>
        <w:t>Security and Privacy Controls for Information Systems and Organizations</w:t>
      </w:r>
      <w:r>
        <w:t>, National Institute of Standards and Technology.</w:t>
      </w:r>
    </w:p>
    <w:p w14:paraId="1A1A15A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NIST SP 800-61 – </w:t>
      </w:r>
      <w:r>
        <w:rPr>
          <w:rStyle w:val="5"/>
        </w:rPr>
        <w:t>Computer Security Incident Handling Guide</w:t>
      </w:r>
      <w:r>
        <w:t>, National Institute of Standards and Technology.</w:t>
      </w:r>
    </w:p>
    <w:p w14:paraId="79926FA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PCI DSS – </w:t>
      </w:r>
      <w:r>
        <w:rPr>
          <w:rStyle w:val="5"/>
        </w:rPr>
        <w:t>Payment Card Industry Data Security Standard</w:t>
      </w:r>
      <w:r>
        <w:t>, PCI Security Standards Council.</w:t>
      </w:r>
    </w:p>
    <w:p w14:paraId="64403C2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KVKK – </w:t>
      </w:r>
      <w:r>
        <w:rPr>
          <w:rStyle w:val="5"/>
        </w:rPr>
        <w:t>Kişisel Verilerin Korunması Kanunu</w:t>
      </w:r>
      <w:r>
        <w:t>, Resmî Gazete, Türkiye.</w:t>
      </w:r>
    </w:p>
    <w:p w14:paraId="2124645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GDPR – </w:t>
      </w:r>
      <w:r>
        <w:rPr>
          <w:rStyle w:val="5"/>
        </w:rPr>
        <w:t>General Data Protection Regulation</w:t>
      </w:r>
      <w:r>
        <w:t>, Avrupa Birliği.</w:t>
      </w:r>
    </w:p>
    <w:p w14:paraId="77E0652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Whitman, Michael E., and Herbert J. Mattord. </w:t>
      </w:r>
      <w:r>
        <w:rPr>
          <w:rStyle w:val="5"/>
        </w:rPr>
        <w:t>Principles of Information Security</w:t>
      </w:r>
      <w:r>
        <w:t>. Cengage Learning, 2021.</w:t>
      </w:r>
    </w:p>
    <w:p w14:paraId="036C93A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Shinder, Debra. </w:t>
      </w:r>
      <w:r>
        <w:rPr>
          <w:rStyle w:val="5"/>
        </w:rPr>
        <w:t>Security Log Management: Identifying Patterns in the Chaos</w:t>
      </w:r>
      <w:r>
        <w:t>. Syngress, 2010.</w:t>
      </w:r>
    </w:p>
    <w:p w14:paraId="74C036E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Kim, David, et al. </w:t>
      </w:r>
      <w:r>
        <w:rPr>
          <w:rStyle w:val="5"/>
        </w:rPr>
        <w:t>Insider Threats in Cyber Security</w:t>
      </w:r>
      <w:r>
        <w:t>. Springer, 2020.</w:t>
      </w:r>
    </w:p>
    <w:p w14:paraId="6A0A9CDA">
      <w:pPr>
        <w:numPr>
          <w:ilvl w:val="0"/>
          <w:numId w:val="0"/>
        </w:numPr>
        <w:bidi w:val="0"/>
        <w:ind w:leftChars="0"/>
        <w:jc w:val="both"/>
        <w:rPr>
          <w:rFonts w:hint="default" w:ascii="SimSun" w:hAnsi="SimSun" w:eastAsia="SimSun" w:cs="SimSun"/>
          <w:sz w:val="24"/>
          <w:lang w:val="tr-TR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E5431"/>
    <w:multiLevelType w:val="singleLevel"/>
    <w:tmpl w:val="83BE54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99F0EB"/>
    <w:multiLevelType w:val="singleLevel"/>
    <w:tmpl w:val="A899F0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3201F5"/>
    <w:multiLevelType w:val="singleLevel"/>
    <w:tmpl w:val="003201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FD5CEBF"/>
    <w:multiLevelType w:val="singleLevel"/>
    <w:tmpl w:val="0FD5C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F435964"/>
    <w:multiLevelType w:val="singleLevel"/>
    <w:tmpl w:val="2F4359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E4DFB"/>
    <w:rsid w:val="410E4DFB"/>
    <w:rsid w:val="4142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5555</Characters>
  <Lines>0</Lines>
  <Paragraphs>0</Paragraphs>
  <TotalTime>927</TotalTime>
  <ScaleCrop>false</ScaleCrop>
  <LinksUpToDate>false</LinksUpToDate>
  <CharactersWithSpaces>6247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2025-11-03T10:36:00Z</dcterms:created>
  <dc:creator>gamin</dc:creator>
  <cp:lastModifiedBy>İbrahim Shaer</cp:lastModifiedBy>
  <dcterms:modified xsi:type="dcterms:W3CDTF">2025-11-11T05:22:17Z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C684CD0C056549E4BD4C426582E597B4_11</vt:lpwstr>
  </property>
</Properties>
</file>