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C4EA6" w:rsidRDefault="00BC4EA6" w:rsidP="00BC4EA6">
      <w:pPr>
        <w:pStyle w:val="Balk3"/>
        <w:rPr>
          <w:rStyle w:val="Gl"/>
          <w:bCs/>
          <w:sz w:val="28"/>
          <w:szCs w:val="28"/>
        </w:rPr>
      </w:pPr>
      <w:r w:rsidRPr="00780933">
        <w:rPr>
          <w:rStyle w:val="Gl"/>
          <w:bCs/>
          <w:sz w:val="28"/>
          <w:szCs w:val="28"/>
        </w:rPr>
        <w:t>IEC 61851 İletişim Kesintisi – Enerji Akışı Devam Ediyor (Protokol Uyum Anomalisi)</w:t>
      </w:r>
    </w:p>
    <w:p w:rsidR="00891372" w:rsidRPr="00780933" w:rsidRDefault="00891372" w:rsidP="00BC4EA6">
      <w:pPr>
        <w:pStyle w:val="Balk3"/>
        <w:rPr>
          <w:b w:val="0"/>
          <w:sz w:val="28"/>
          <w:szCs w:val="28"/>
        </w:rPr>
      </w:pPr>
    </w:p>
    <w:p w:rsidR="00BC4EA6" w:rsidRPr="00780933" w:rsidRDefault="00BC4EA6" w:rsidP="00BC4EA6">
      <w:pPr>
        <w:pStyle w:val="Balk3"/>
        <w:rPr>
          <w:b w:val="0"/>
          <w:sz w:val="24"/>
          <w:szCs w:val="24"/>
        </w:rPr>
      </w:pPr>
      <w:r w:rsidRPr="00780933">
        <w:rPr>
          <w:rStyle w:val="Gl"/>
          <w:bCs/>
          <w:sz w:val="24"/>
          <w:szCs w:val="24"/>
        </w:rPr>
        <w:t>1. Anomali Tanımı</w:t>
      </w:r>
    </w:p>
    <w:p w:rsidR="00780933" w:rsidRPr="00780933" w:rsidRDefault="00780933" w:rsidP="00BC4EA6">
      <w:pPr>
        <w:pStyle w:val="Balk3"/>
        <w:rPr>
          <w:b w:val="0"/>
          <w:sz w:val="24"/>
          <w:szCs w:val="24"/>
        </w:rPr>
      </w:pPr>
      <w:r w:rsidRPr="00780933">
        <w:rPr>
          <w:b w:val="0"/>
          <w:sz w:val="24"/>
          <w:szCs w:val="24"/>
        </w:rPr>
        <w:t xml:space="preserve">“İletişim Kesintisi – Enerji Akışı Devam Ediyor” </w:t>
      </w:r>
      <w:proofErr w:type="gramStart"/>
      <w:r w:rsidRPr="00780933">
        <w:rPr>
          <w:b w:val="0"/>
          <w:sz w:val="24"/>
          <w:szCs w:val="24"/>
        </w:rPr>
        <w:t>anomalisi</w:t>
      </w:r>
      <w:proofErr w:type="gramEnd"/>
      <w:r w:rsidRPr="00780933">
        <w:rPr>
          <w:b w:val="0"/>
          <w:sz w:val="24"/>
          <w:szCs w:val="24"/>
        </w:rPr>
        <w:t xml:space="preserve">, şarj sistemiyle elektrikli araç (EV) arasındaki protokol tabanlı kontrol sinyalleri kesildiği hâlde (örneğin kontrol pilot sinyali, dijital haberleşme), enerji akışının hâlâ devam ettiği durumu ifade eder. Yani, haberleşme hatası ya da uyumsuzluk olmasına rağmen EVSE (şarj istasyonu) halen güç sağlıyor; bu, IEC 61851 standardı kapsamında beklenen “kontrol-pilot, güvenlik ve kesme” mekanizmalarının tam </w:t>
      </w:r>
      <w:proofErr w:type="spellStart"/>
      <w:r w:rsidRPr="00780933">
        <w:rPr>
          <w:b w:val="0"/>
          <w:sz w:val="24"/>
          <w:szCs w:val="24"/>
        </w:rPr>
        <w:t>işlememediğini</w:t>
      </w:r>
      <w:proofErr w:type="spellEnd"/>
      <w:r w:rsidRPr="00780933">
        <w:rPr>
          <w:b w:val="0"/>
          <w:sz w:val="24"/>
          <w:szCs w:val="24"/>
        </w:rPr>
        <w:t xml:space="preserve"> gösterir.</w:t>
      </w:r>
    </w:p>
    <w:p w:rsidR="00BC4EA6" w:rsidRPr="00780933" w:rsidRDefault="00BC4EA6" w:rsidP="00BC4EA6">
      <w:pPr>
        <w:pStyle w:val="Balk3"/>
        <w:rPr>
          <w:b w:val="0"/>
          <w:sz w:val="24"/>
          <w:szCs w:val="24"/>
        </w:rPr>
      </w:pPr>
      <w:r w:rsidRPr="00780933">
        <w:rPr>
          <w:rStyle w:val="Gl"/>
          <w:bCs/>
          <w:sz w:val="24"/>
          <w:szCs w:val="24"/>
        </w:rPr>
        <w:t>2. Olası Nedenler</w:t>
      </w:r>
    </w:p>
    <w:p w:rsidR="00780933" w:rsidRPr="00780933" w:rsidRDefault="00780933" w:rsidP="00780933">
      <w:pPr>
        <w:pStyle w:val="NormalWeb"/>
        <w:numPr>
          <w:ilvl w:val="0"/>
          <w:numId w:val="20"/>
        </w:numPr>
      </w:pPr>
      <w:r w:rsidRPr="00780933">
        <w:t>PWM kontrol pilotu sinyalinde sapma, iletişim bozulmasına ve enerji kesilmemesine yol açabilir.</w:t>
      </w:r>
    </w:p>
    <w:p w:rsidR="00780933" w:rsidRPr="00780933" w:rsidRDefault="00780933" w:rsidP="00780933">
      <w:pPr>
        <w:pStyle w:val="NormalWeb"/>
        <w:numPr>
          <w:ilvl w:val="0"/>
          <w:numId w:val="20"/>
        </w:numPr>
      </w:pPr>
      <w:r w:rsidRPr="00780933">
        <w:t>MPC algoritması veya yazılım hatası, enerji akışını durdurmayı engelleyebilir.</w:t>
      </w:r>
    </w:p>
    <w:p w:rsidR="00780933" w:rsidRPr="00780933" w:rsidRDefault="00780933" w:rsidP="00780933">
      <w:pPr>
        <w:pStyle w:val="NormalWeb"/>
        <w:numPr>
          <w:ilvl w:val="0"/>
          <w:numId w:val="20"/>
        </w:numPr>
      </w:pPr>
      <w:r w:rsidRPr="00780933">
        <w:t>Güç sınırı bilgisinin yanlış iletilmesi, EVSE kontrolünü etkileyebilir.</w:t>
      </w:r>
    </w:p>
    <w:p w:rsidR="00780933" w:rsidRPr="00780933" w:rsidRDefault="00780933" w:rsidP="00780933">
      <w:pPr>
        <w:pStyle w:val="NormalWeb"/>
        <w:numPr>
          <w:ilvl w:val="0"/>
          <w:numId w:val="20"/>
        </w:numPr>
      </w:pPr>
      <w:r w:rsidRPr="00780933">
        <w:t>Donanım arızaları (RCD, PLC, kilit) enerji kesilmesini engelleyebilir.</w:t>
      </w:r>
    </w:p>
    <w:p w:rsidR="00780933" w:rsidRPr="00780933" w:rsidRDefault="00780933" w:rsidP="00780933">
      <w:pPr>
        <w:pStyle w:val="NormalWeb"/>
        <w:numPr>
          <w:ilvl w:val="0"/>
          <w:numId w:val="20"/>
        </w:numPr>
      </w:pPr>
      <w:r w:rsidRPr="00780933">
        <w:t>Protokol uyumsuzluğu (IEC 61851 / ISO 15118) sistem davranışını bozabilir.</w:t>
      </w:r>
    </w:p>
    <w:p w:rsidR="00BC4EA6" w:rsidRPr="00780933" w:rsidRDefault="00BC4EA6" w:rsidP="00BC4EA6">
      <w:pPr>
        <w:pStyle w:val="Balk3"/>
        <w:rPr>
          <w:b w:val="0"/>
          <w:sz w:val="24"/>
          <w:szCs w:val="24"/>
        </w:rPr>
      </w:pPr>
      <w:r w:rsidRPr="00780933">
        <w:rPr>
          <w:rStyle w:val="Gl"/>
          <w:bCs/>
          <w:sz w:val="24"/>
          <w:szCs w:val="24"/>
        </w:rPr>
        <w:t>3. Olası Riskler ve Etkiler</w:t>
      </w:r>
    </w:p>
    <w:p w:rsidR="00780933" w:rsidRPr="00780933" w:rsidRDefault="00780933" w:rsidP="00780933">
      <w:pPr>
        <w:pStyle w:val="NormalWeb"/>
        <w:numPr>
          <w:ilvl w:val="0"/>
          <w:numId w:val="21"/>
        </w:numPr>
      </w:pPr>
      <w:r w:rsidRPr="00780933">
        <w:rPr>
          <w:rStyle w:val="Gl"/>
          <w:b w:val="0"/>
        </w:rPr>
        <w:t>Güvenlik riski</w:t>
      </w:r>
      <w:r w:rsidRPr="00780933">
        <w:t>: İletişim kesilmiş olmasına rağmen enerji akışı devam ediyorsa, potansiyel tehlikeli durumlar oluşabilir — örneğin, EV beklenmeyen bir şekilde yüksek akım çekebilir veya uygun koruma çalışmayabilir.</w:t>
      </w:r>
    </w:p>
    <w:p w:rsidR="00780933" w:rsidRPr="00780933" w:rsidRDefault="00780933" w:rsidP="00780933">
      <w:pPr>
        <w:pStyle w:val="NormalWeb"/>
        <w:numPr>
          <w:ilvl w:val="0"/>
          <w:numId w:val="21"/>
        </w:numPr>
      </w:pPr>
      <w:r w:rsidRPr="00780933">
        <w:rPr>
          <w:rStyle w:val="Gl"/>
          <w:b w:val="0"/>
        </w:rPr>
        <w:t>Donanım zararları</w:t>
      </w:r>
      <w:r w:rsidRPr="00780933">
        <w:t>: Uzun süreli enerji akışı kontrolsüz kalırsa EV ya da EVSE bileşenlerinde termal aşırı yüklenme riski olabilir.</w:t>
      </w:r>
    </w:p>
    <w:p w:rsidR="00780933" w:rsidRPr="00780933" w:rsidRDefault="00780933" w:rsidP="00780933">
      <w:pPr>
        <w:pStyle w:val="NormalWeb"/>
        <w:numPr>
          <w:ilvl w:val="0"/>
          <w:numId w:val="21"/>
        </w:numPr>
      </w:pPr>
      <w:r w:rsidRPr="00780933">
        <w:rPr>
          <w:rStyle w:val="Gl"/>
          <w:b w:val="0"/>
        </w:rPr>
        <w:t>Standart uyumsuzluğu ve yasal sorunlar</w:t>
      </w:r>
      <w:r w:rsidRPr="00780933">
        <w:t>: IEC 61851 standardına uymayan çalışma, sertifikasyon ve belgelendirme süreçlerinde problem yaratabilir.</w:t>
      </w:r>
    </w:p>
    <w:p w:rsidR="00780933" w:rsidRPr="00780933" w:rsidRDefault="00780933" w:rsidP="00780933">
      <w:pPr>
        <w:pStyle w:val="NormalWeb"/>
        <w:numPr>
          <w:ilvl w:val="0"/>
          <w:numId w:val="21"/>
        </w:numPr>
      </w:pPr>
      <w:r w:rsidRPr="00780933">
        <w:rPr>
          <w:rStyle w:val="Gl"/>
          <w:b w:val="0"/>
        </w:rPr>
        <w:t>Müşteri memnuniyetsizliği</w:t>
      </w:r>
      <w:r w:rsidRPr="00780933">
        <w:t>: Kullanıcı açısından, haberleşme kopması şarj kesintisi veya güvenlik problemi gibi algılanabilir. Bu, marka güvenine zarar verebilir.</w:t>
      </w:r>
    </w:p>
    <w:p w:rsidR="00780933" w:rsidRPr="00780933" w:rsidRDefault="00780933" w:rsidP="00780933">
      <w:pPr>
        <w:pStyle w:val="NormalWeb"/>
        <w:numPr>
          <w:ilvl w:val="0"/>
          <w:numId w:val="21"/>
        </w:numPr>
      </w:pPr>
      <w:r w:rsidRPr="00780933">
        <w:rPr>
          <w:rStyle w:val="Gl"/>
          <w:b w:val="0"/>
        </w:rPr>
        <w:t>Şebeke etkileri</w:t>
      </w:r>
      <w:r w:rsidRPr="00780933">
        <w:t>: Enerji talebi beklenenden farklı bir şekilde devam ediyorsa, akü yük yönetimi ve talep-tepki stratejileri bozulabilir (özellikle akıllı şebekelerde / talep yanıt senaryolarında).</w:t>
      </w:r>
    </w:p>
    <w:p w:rsidR="00BC4EA6" w:rsidRPr="00780933" w:rsidRDefault="00BC4EA6" w:rsidP="00BC4EA6">
      <w:pPr>
        <w:pStyle w:val="Balk3"/>
        <w:rPr>
          <w:b w:val="0"/>
          <w:sz w:val="24"/>
          <w:szCs w:val="24"/>
        </w:rPr>
      </w:pPr>
      <w:r w:rsidRPr="00780933">
        <w:rPr>
          <w:rStyle w:val="Gl"/>
          <w:bCs/>
          <w:sz w:val="24"/>
          <w:szCs w:val="24"/>
        </w:rPr>
        <w:t>4. İlgili Standart Referansı</w:t>
      </w:r>
    </w:p>
    <w:p w:rsidR="00780933" w:rsidRPr="00780933" w:rsidRDefault="00780933" w:rsidP="00780933">
      <w:pPr>
        <w:pStyle w:val="NormalWeb"/>
        <w:numPr>
          <w:ilvl w:val="0"/>
          <w:numId w:val="22"/>
        </w:numPr>
      </w:pPr>
      <w:r w:rsidRPr="00780933">
        <w:rPr>
          <w:rStyle w:val="Gl"/>
          <w:b w:val="0"/>
        </w:rPr>
        <w:t>IEC 61851</w:t>
      </w:r>
      <w:r w:rsidRPr="00780933">
        <w:rPr>
          <w:rStyle w:val="Gl"/>
          <w:b w:val="0"/>
        </w:rPr>
        <w:noBreakHyphen/>
        <w:t>1</w:t>
      </w:r>
      <w:r w:rsidRPr="00780933">
        <w:t xml:space="preserve">: Bu standart, iletken (kablolu) EV şarj sistemlerinin genel gereksinimlerini tanımlar. </w:t>
      </w:r>
      <w:hyperlink r:id="rId5" w:tgtFrame="_blank" w:history="1">
        <w:r w:rsidRPr="00780933">
          <w:rPr>
            <w:rStyle w:val="max-w-15ch"/>
            <w:color w:val="0000FF"/>
          </w:rPr>
          <w:t>otomasyonavm.com</w:t>
        </w:r>
        <w:r w:rsidRPr="00780933">
          <w:rPr>
            <w:rStyle w:val="-me-1"/>
            <w:color w:val="0000FF"/>
            <w:u w:val="single"/>
          </w:rPr>
          <w:t>+1</w:t>
        </w:r>
      </w:hyperlink>
    </w:p>
    <w:p w:rsidR="00780933" w:rsidRPr="00780933" w:rsidRDefault="00780933" w:rsidP="00780933">
      <w:pPr>
        <w:pStyle w:val="NormalWeb"/>
        <w:numPr>
          <w:ilvl w:val="0"/>
          <w:numId w:val="22"/>
        </w:numPr>
      </w:pPr>
      <w:r w:rsidRPr="00780933">
        <w:rPr>
          <w:rStyle w:val="Gl"/>
          <w:b w:val="0"/>
        </w:rPr>
        <w:t>IEC 61000</w:t>
      </w:r>
      <w:r w:rsidRPr="00780933">
        <w:t xml:space="preserve"> (EMC testleri): TS EN 61851</w:t>
      </w:r>
      <w:r w:rsidRPr="00780933">
        <w:noBreakHyphen/>
        <w:t xml:space="preserve">1, </w:t>
      </w:r>
      <w:proofErr w:type="gramStart"/>
      <w:r w:rsidRPr="00780933">
        <w:t>emisyon</w:t>
      </w:r>
      <w:proofErr w:type="gramEnd"/>
      <w:r w:rsidRPr="00780933">
        <w:t xml:space="preserve"> ve bağışıklık testlerinin IEC 61000 serisi standartlara göre yapılmasını gerektirir. </w:t>
      </w:r>
      <w:hyperlink r:id="rId6" w:tgtFrame="_blank" w:history="1">
        <w:r w:rsidRPr="00780933">
          <w:rPr>
            <w:rStyle w:val="max-w-15ch"/>
            <w:color w:val="0000FF"/>
          </w:rPr>
          <w:t>lvt.com.tr</w:t>
        </w:r>
      </w:hyperlink>
    </w:p>
    <w:p w:rsidR="00780933" w:rsidRPr="00780933" w:rsidRDefault="00780933" w:rsidP="00780933">
      <w:pPr>
        <w:pStyle w:val="NormalWeb"/>
        <w:numPr>
          <w:ilvl w:val="0"/>
          <w:numId w:val="22"/>
        </w:numPr>
      </w:pPr>
      <w:r w:rsidRPr="00780933">
        <w:t xml:space="preserve">İlgili çalışma ayrıca </w:t>
      </w:r>
      <w:r w:rsidRPr="00780933">
        <w:rPr>
          <w:rStyle w:val="Gl"/>
          <w:b w:val="0"/>
        </w:rPr>
        <w:t xml:space="preserve">Model </w:t>
      </w:r>
      <w:proofErr w:type="spellStart"/>
      <w:r w:rsidRPr="00780933">
        <w:rPr>
          <w:rStyle w:val="Gl"/>
          <w:b w:val="0"/>
        </w:rPr>
        <w:t>Predictive</w:t>
      </w:r>
      <w:proofErr w:type="spellEnd"/>
      <w:r w:rsidRPr="00780933">
        <w:rPr>
          <w:rStyle w:val="Gl"/>
          <w:b w:val="0"/>
        </w:rPr>
        <w:t xml:space="preserve"> Control</w:t>
      </w:r>
      <w:r w:rsidRPr="00780933">
        <w:t xml:space="preserve"> (MPC) yaklaşımını IEC 61851 ile uyumlu şekilde ele alıyor.</w:t>
      </w:r>
    </w:p>
    <w:p w:rsidR="00BC4EA6" w:rsidRPr="00780933" w:rsidRDefault="00BC4EA6" w:rsidP="00BC4EA6">
      <w:pPr>
        <w:pStyle w:val="Balk3"/>
        <w:rPr>
          <w:rStyle w:val="Gl"/>
          <w:bCs/>
          <w:sz w:val="24"/>
          <w:szCs w:val="24"/>
        </w:rPr>
      </w:pPr>
    </w:p>
    <w:p w:rsidR="00BC4EA6" w:rsidRPr="00780933" w:rsidRDefault="00BC4EA6" w:rsidP="00BC4EA6">
      <w:pPr>
        <w:pStyle w:val="Balk3"/>
        <w:rPr>
          <w:b w:val="0"/>
          <w:sz w:val="24"/>
          <w:szCs w:val="24"/>
        </w:rPr>
      </w:pPr>
      <w:bookmarkStart w:id="0" w:name="_GoBack"/>
      <w:bookmarkEnd w:id="0"/>
      <w:r w:rsidRPr="00780933">
        <w:rPr>
          <w:rStyle w:val="Gl"/>
          <w:bCs/>
          <w:sz w:val="24"/>
          <w:szCs w:val="24"/>
        </w:rPr>
        <w:lastRenderedPageBreak/>
        <w:t>5. Çözüm Önerileri</w:t>
      </w:r>
    </w:p>
    <w:p w:rsidR="00780933" w:rsidRPr="00780933" w:rsidRDefault="00780933" w:rsidP="00780933">
      <w:pPr>
        <w:spacing w:before="100" w:beforeAutospacing="1" w:after="100" w:afterAutospacing="1" w:line="240" w:lineRule="auto"/>
        <w:rPr>
          <w:rFonts w:ascii="Times New Roman" w:eastAsia="Times New Roman" w:hAnsi="Times New Roman" w:cs="Times New Roman"/>
          <w:sz w:val="24"/>
          <w:szCs w:val="24"/>
          <w:lang w:eastAsia="tr-TR"/>
        </w:rPr>
      </w:pPr>
      <w:r w:rsidRPr="00780933">
        <w:rPr>
          <w:rFonts w:ascii="Times New Roman" w:eastAsia="Times New Roman" w:hAnsi="Times New Roman" w:cs="Times New Roman"/>
          <w:bCs/>
          <w:sz w:val="24"/>
          <w:szCs w:val="24"/>
          <w:lang w:eastAsia="tr-TR"/>
        </w:rPr>
        <w:t>Donanım:</w:t>
      </w:r>
    </w:p>
    <w:p w:rsidR="00780933" w:rsidRPr="00780933" w:rsidRDefault="00780933" w:rsidP="00780933">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r w:rsidRPr="00780933">
        <w:rPr>
          <w:rFonts w:ascii="Times New Roman" w:eastAsia="Times New Roman" w:hAnsi="Times New Roman" w:cs="Times New Roman"/>
          <w:sz w:val="24"/>
          <w:szCs w:val="24"/>
          <w:lang w:eastAsia="tr-TR"/>
        </w:rPr>
        <w:t>PWM ve kontrol pilot devresini güçlendirin, yedek devre ekleyin.</w:t>
      </w:r>
    </w:p>
    <w:p w:rsidR="00780933" w:rsidRPr="00780933" w:rsidRDefault="00780933" w:rsidP="00780933">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r w:rsidRPr="00780933">
        <w:rPr>
          <w:rFonts w:ascii="Times New Roman" w:eastAsia="Times New Roman" w:hAnsi="Times New Roman" w:cs="Times New Roman"/>
          <w:sz w:val="24"/>
          <w:szCs w:val="24"/>
          <w:lang w:eastAsia="tr-TR"/>
        </w:rPr>
        <w:t>RCD ve koruma elemanlarını düzenli test edin.</w:t>
      </w:r>
    </w:p>
    <w:p w:rsidR="00780933" w:rsidRPr="00780933" w:rsidRDefault="00780933" w:rsidP="00780933">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r w:rsidRPr="00780933">
        <w:rPr>
          <w:rFonts w:ascii="Times New Roman" w:eastAsia="Times New Roman" w:hAnsi="Times New Roman" w:cs="Times New Roman"/>
          <w:sz w:val="24"/>
          <w:szCs w:val="24"/>
          <w:lang w:eastAsia="tr-TR"/>
        </w:rPr>
        <w:t>Kilitleme ve yedek kontrol devresi ile enerji kesme garantisi sağlayın.</w:t>
      </w:r>
    </w:p>
    <w:p w:rsidR="00780933" w:rsidRPr="00780933" w:rsidRDefault="00780933" w:rsidP="00780933">
      <w:pPr>
        <w:spacing w:before="100" w:beforeAutospacing="1" w:after="100" w:afterAutospacing="1" w:line="240" w:lineRule="auto"/>
        <w:rPr>
          <w:rFonts w:ascii="Times New Roman" w:eastAsia="Times New Roman" w:hAnsi="Times New Roman" w:cs="Times New Roman"/>
          <w:sz w:val="24"/>
          <w:szCs w:val="24"/>
          <w:lang w:eastAsia="tr-TR"/>
        </w:rPr>
      </w:pPr>
      <w:r w:rsidRPr="00780933">
        <w:rPr>
          <w:rFonts w:ascii="Times New Roman" w:eastAsia="Times New Roman" w:hAnsi="Times New Roman" w:cs="Times New Roman"/>
          <w:bCs/>
          <w:sz w:val="24"/>
          <w:szCs w:val="24"/>
          <w:lang w:eastAsia="tr-TR"/>
        </w:rPr>
        <w:t>Yazılım:</w:t>
      </w:r>
    </w:p>
    <w:p w:rsidR="00780933" w:rsidRPr="00780933" w:rsidRDefault="00780933" w:rsidP="00780933">
      <w:pPr>
        <w:numPr>
          <w:ilvl w:val="0"/>
          <w:numId w:val="17"/>
        </w:numPr>
        <w:spacing w:before="100" w:beforeAutospacing="1" w:after="100" w:afterAutospacing="1" w:line="240" w:lineRule="auto"/>
        <w:rPr>
          <w:rFonts w:ascii="Times New Roman" w:eastAsia="Times New Roman" w:hAnsi="Times New Roman" w:cs="Times New Roman"/>
          <w:sz w:val="24"/>
          <w:szCs w:val="24"/>
          <w:lang w:eastAsia="tr-TR"/>
        </w:rPr>
      </w:pPr>
      <w:r w:rsidRPr="00780933">
        <w:rPr>
          <w:rFonts w:ascii="Times New Roman" w:eastAsia="Times New Roman" w:hAnsi="Times New Roman" w:cs="Times New Roman"/>
          <w:sz w:val="24"/>
          <w:szCs w:val="24"/>
          <w:lang w:eastAsia="tr-TR"/>
        </w:rPr>
        <w:t>MPC algoritmasını fail-</w:t>
      </w:r>
      <w:proofErr w:type="spellStart"/>
      <w:r w:rsidRPr="00780933">
        <w:rPr>
          <w:rFonts w:ascii="Times New Roman" w:eastAsia="Times New Roman" w:hAnsi="Times New Roman" w:cs="Times New Roman"/>
          <w:sz w:val="24"/>
          <w:szCs w:val="24"/>
          <w:lang w:eastAsia="tr-TR"/>
        </w:rPr>
        <w:t>safe</w:t>
      </w:r>
      <w:proofErr w:type="spellEnd"/>
      <w:r w:rsidRPr="00780933">
        <w:rPr>
          <w:rFonts w:ascii="Times New Roman" w:eastAsia="Times New Roman" w:hAnsi="Times New Roman" w:cs="Times New Roman"/>
          <w:sz w:val="24"/>
          <w:szCs w:val="24"/>
          <w:lang w:eastAsia="tr-TR"/>
        </w:rPr>
        <w:t xml:space="preserve"> senaryolarına göre güncelleyin.</w:t>
      </w:r>
    </w:p>
    <w:p w:rsidR="00780933" w:rsidRPr="00780933" w:rsidRDefault="00780933" w:rsidP="00780933">
      <w:pPr>
        <w:numPr>
          <w:ilvl w:val="0"/>
          <w:numId w:val="17"/>
        </w:numPr>
        <w:spacing w:before="100" w:beforeAutospacing="1" w:after="100" w:afterAutospacing="1" w:line="240" w:lineRule="auto"/>
        <w:rPr>
          <w:rFonts w:ascii="Times New Roman" w:eastAsia="Times New Roman" w:hAnsi="Times New Roman" w:cs="Times New Roman"/>
          <w:sz w:val="24"/>
          <w:szCs w:val="24"/>
          <w:lang w:eastAsia="tr-TR"/>
        </w:rPr>
      </w:pPr>
      <w:r w:rsidRPr="00780933">
        <w:rPr>
          <w:rFonts w:ascii="Times New Roman" w:eastAsia="Times New Roman" w:hAnsi="Times New Roman" w:cs="Times New Roman"/>
          <w:sz w:val="24"/>
          <w:szCs w:val="24"/>
          <w:lang w:eastAsia="tr-TR"/>
        </w:rPr>
        <w:t xml:space="preserve">Hata algılama ve güvenlik </w:t>
      </w:r>
      <w:proofErr w:type="spellStart"/>
      <w:r w:rsidRPr="00780933">
        <w:rPr>
          <w:rFonts w:ascii="Times New Roman" w:eastAsia="Times New Roman" w:hAnsi="Times New Roman" w:cs="Times New Roman"/>
          <w:sz w:val="24"/>
          <w:szCs w:val="24"/>
          <w:lang w:eastAsia="tr-TR"/>
        </w:rPr>
        <w:t>modu</w:t>
      </w:r>
      <w:proofErr w:type="spellEnd"/>
      <w:r w:rsidRPr="00780933">
        <w:rPr>
          <w:rFonts w:ascii="Times New Roman" w:eastAsia="Times New Roman" w:hAnsi="Times New Roman" w:cs="Times New Roman"/>
          <w:sz w:val="24"/>
          <w:szCs w:val="24"/>
          <w:lang w:eastAsia="tr-TR"/>
        </w:rPr>
        <w:t xml:space="preserve"> ekleyin.</w:t>
      </w:r>
    </w:p>
    <w:p w:rsidR="00780933" w:rsidRPr="00780933" w:rsidRDefault="00780933" w:rsidP="00780933">
      <w:pPr>
        <w:numPr>
          <w:ilvl w:val="0"/>
          <w:numId w:val="17"/>
        </w:numPr>
        <w:spacing w:before="100" w:beforeAutospacing="1" w:after="100" w:afterAutospacing="1" w:line="240" w:lineRule="auto"/>
        <w:rPr>
          <w:rFonts w:ascii="Times New Roman" w:eastAsia="Times New Roman" w:hAnsi="Times New Roman" w:cs="Times New Roman"/>
          <w:sz w:val="24"/>
          <w:szCs w:val="24"/>
          <w:lang w:eastAsia="tr-TR"/>
        </w:rPr>
      </w:pPr>
      <w:r w:rsidRPr="00780933">
        <w:rPr>
          <w:rFonts w:ascii="Times New Roman" w:eastAsia="Times New Roman" w:hAnsi="Times New Roman" w:cs="Times New Roman"/>
          <w:sz w:val="24"/>
          <w:szCs w:val="24"/>
          <w:lang w:eastAsia="tr-TR"/>
        </w:rPr>
        <w:t xml:space="preserve">IEC 61851 uyumluluğunu sağlayın ve </w:t>
      </w:r>
      <w:proofErr w:type="spellStart"/>
      <w:r w:rsidRPr="00780933">
        <w:rPr>
          <w:rFonts w:ascii="Times New Roman" w:eastAsia="Times New Roman" w:hAnsi="Times New Roman" w:cs="Times New Roman"/>
          <w:sz w:val="24"/>
          <w:szCs w:val="24"/>
          <w:lang w:eastAsia="tr-TR"/>
        </w:rPr>
        <w:t>log</w:t>
      </w:r>
      <w:proofErr w:type="spellEnd"/>
      <w:r w:rsidRPr="00780933">
        <w:rPr>
          <w:rFonts w:ascii="Times New Roman" w:eastAsia="Times New Roman" w:hAnsi="Times New Roman" w:cs="Times New Roman"/>
          <w:sz w:val="24"/>
          <w:szCs w:val="24"/>
          <w:lang w:eastAsia="tr-TR"/>
        </w:rPr>
        <w:t xml:space="preserve"> tutun.</w:t>
      </w:r>
    </w:p>
    <w:p w:rsidR="00780933" w:rsidRPr="00780933" w:rsidRDefault="00780933" w:rsidP="00780933">
      <w:pPr>
        <w:spacing w:before="100" w:beforeAutospacing="1" w:after="100" w:afterAutospacing="1" w:line="240" w:lineRule="auto"/>
        <w:rPr>
          <w:rFonts w:ascii="Times New Roman" w:eastAsia="Times New Roman" w:hAnsi="Times New Roman" w:cs="Times New Roman"/>
          <w:sz w:val="24"/>
          <w:szCs w:val="24"/>
          <w:lang w:eastAsia="tr-TR"/>
        </w:rPr>
      </w:pPr>
      <w:r w:rsidRPr="00780933">
        <w:rPr>
          <w:rFonts w:ascii="Times New Roman" w:eastAsia="Times New Roman" w:hAnsi="Times New Roman" w:cs="Times New Roman"/>
          <w:bCs/>
          <w:sz w:val="24"/>
          <w:szCs w:val="24"/>
          <w:lang w:eastAsia="tr-TR"/>
        </w:rPr>
        <w:t>Test:</w:t>
      </w:r>
    </w:p>
    <w:p w:rsidR="00780933" w:rsidRPr="00780933" w:rsidRDefault="00780933" w:rsidP="00780933">
      <w:pPr>
        <w:numPr>
          <w:ilvl w:val="0"/>
          <w:numId w:val="18"/>
        </w:numPr>
        <w:spacing w:before="100" w:beforeAutospacing="1" w:after="100" w:afterAutospacing="1" w:line="240" w:lineRule="auto"/>
        <w:rPr>
          <w:rFonts w:ascii="Times New Roman" w:eastAsia="Times New Roman" w:hAnsi="Times New Roman" w:cs="Times New Roman"/>
          <w:sz w:val="24"/>
          <w:szCs w:val="24"/>
          <w:lang w:eastAsia="tr-TR"/>
        </w:rPr>
      </w:pPr>
      <w:r w:rsidRPr="00780933">
        <w:rPr>
          <w:rFonts w:ascii="Times New Roman" w:eastAsia="Times New Roman" w:hAnsi="Times New Roman" w:cs="Times New Roman"/>
          <w:sz w:val="24"/>
          <w:szCs w:val="24"/>
          <w:lang w:eastAsia="tr-TR"/>
        </w:rPr>
        <w:t xml:space="preserve">EV </w:t>
      </w:r>
      <w:proofErr w:type="gramStart"/>
      <w:r w:rsidRPr="00780933">
        <w:rPr>
          <w:rFonts w:ascii="Times New Roman" w:eastAsia="Times New Roman" w:hAnsi="Times New Roman" w:cs="Times New Roman"/>
          <w:sz w:val="24"/>
          <w:szCs w:val="24"/>
          <w:lang w:eastAsia="tr-TR"/>
        </w:rPr>
        <w:t>simülatörü</w:t>
      </w:r>
      <w:proofErr w:type="gramEnd"/>
      <w:r w:rsidRPr="00780933">
        <w:rPr>
          <w:rFonts w:ascii="Times New Roman" w:eastAsia="Times New Roman" w:hAnsi="Times New Roman" w:cs="Times New Roman"/>
          <w:sz w:val="24"/>
          <w:szCs w:val="24"/>
          <w:lang w:eastAsia="tr-TR"/>
        </w:rPr>
        <w:t xml:space="preserve"> ile iletişim kesintisi senaryolarını test edin.</w:t>
      </w:r>
    </w:p>
    <w:p w:rsidR="00780933" w:rsidRPr="00780933" w:rsidRDefault="00780933" w:rsidP="00780933">
      <w:pPr>
        <w:numPr>
          <w:ilvl w:val="0"/>
          <w:numId w:val="18"/>
        </w:numPr>
        <w:spacing w:before="100" w:beforeAutospacing="1" w:after="100" w:afterAutospacing="1" w:line="240" w:lineRule="auto"/>
        <w:rPr>
          <w:rFonts w:ascii="Times New Roman" w:eastAsia="Times New Roman" w:hAnsi="Times New Roman" w:cs="Times New Roman"/>
          <w:sz w:val="24"/>
          <w:szCs w:val="24"/>
          <w:lang w:eastAsia="tr-TR"/>
        </w:rPr>
      </w:pPr>
      <w:r w:rsidRPr="00780933">
        <w:rPr>
          <w:rFonts w:ascii="Times New Roman" w:eastAsia="Times New Roman" w:hAnsi="Times New Roman" w:cs="Times New Roman"/>
          <w:sz w:val="24"/>
          <w:szCs w:val="24"/>
          <w:lang w:eastAsia="tr-TR"/>
        </w:rPr>
        <w:t xml:space="preserve">Stres, </w:t>
      </w:r>
      <w:proofErr w:type="spellStart"/>
      <w:r w:rsidRPr="00780933">
        <w:rPr>
          <w:rFonts w:ascii="Times New Roman" w:eastAsia="Times New Roman" w:hAnsi="Times New Roman" w:cs="Times New Roman"/>
          <w:sz w:val="24"/>
          <w:szCs w:val="24"/>
          <w:lang w:eastAsia="tr-TR"/>
        </w:rPr>
        <w:t>timeout</w:t>
      </w:r>
      <w:proofErr w:type="spellEnd"/>
      <w:r w:rsidRPr="00780933">
        <w:rPr>
          <w:rFonts w:ascii="Times New Roman" w:eastAsia="Times New Roman" w:hAnsi="Times New Roman" w:cs="Times New Roman"/>
          <w:sz w:val="24"/>
          <w:szCs w:val="24"/>
          <w:lang w:eastAsia="tr-TR"/>
        </w:rPr>
        <w:t xml:space="preserve"> ve uyumluluk testleri yapın.</w:t>
      </w:r>
    </w:p>
    <w:p w:rsidR="00780933" w:rsidRPr="00780933" w:rsidRDefault="00780933" w:rsidP="00780933">
      <w:pPr>
        <w:numPr>
          <w:ilvl w:val="0"/>
          <w:numId w:val="18"/>
        </w:numPr>
        <w:spacing w:before="100" w:beforeAutospacing="1" w:after="100" w:afterAutospacing="1" w:line="240" w:lineRule="auto"/>
        <w:rPr>
          <w:rFonts w:ascii="Times New Roman" w:eastAsia="Times New Roman" w:hAnsi="Times New Roman" w:cs="Times New Roman"/>
          <w:sz w:val="24"/>
          <w:szCs w:val="24"/>
          <w:lang w:eastAsia="tr-TR"/>
        </w:rPr>
      </w:pPr>
      <w:r w:rsidRPr="00780933">
        <w:rPr>
          <w:rFonts w:ascii="Times New Roman" w:eastAsia="Times New Roman" w:hAnsi="Times New Roman" w:cs="Times New Roman"/>
          <w:sz w:val="24"/>
          <w:szCs w:val="24"/>
          <w:lang w:eastAsia="tr-TR"/>
        </w:rPr>
        <w:t>Uzun süreli ve farklı koşullarda sistemi gözlemleyin.</w:t>
      </w:r>
    </w:p>
    <w:p w:rsidR="0049653A" w:rsidRDefault="0049653A" w:rsidP="00BC4EA6">
      <w:pPr>
        <w:pStyle w:val="Balk3"/>
        <w:rPr>
          <w:b w:val="0"/>
          <w:bCs w:val="0"/>
          <w:sz w:val="24"/>
          <w:szCs w:val="24"/>
        </w:rPr>
      </w:pPr>
    </w:p>
    <w:p w:rsidR="00BC4EA6" w:rsidRPr="00780933" w:rsidRDefault="00BC4EA6" w:rsidP="00BC4EA6">
      <w:pPr>
        <w:pStyle w:val="Balk3"/>
        <w:rPr>
          <w:b w:val="0"/>
          <w:sz w:val="24"/>
          <w:szCs w:val="24"/>
        </w:rPr>
      </w:pPr>
      <w:r w:rsidRPr="00780933">
        <w:rPr>
          <w:rStyle w:val="Gl"/>
          <w:bCs/>
          <w:sz w:val="24"/>
          <w:szCs w:val="24"/>
        </w:rPr>
        <w:t>6. Sonuç ve Değerlendirme</w:t>
      </w:r>
    </w:p>
    <w:p w:rsidR="00AC0C7B" w:rsidRPr="00780933" w:rsidRDefault="00780933" w:rsidP="00BC4EA6">
      <w:pPr>
        <w:pStyle w:val="NormalWeb"/>
      </w:pPr>
      <w:r w:rsidRPr="00780933">
        <w:t>Anomali, ciddi güvenlik riski ve standart uyumsuzluğu yaratıyor. Literatürde hem donanım hem yazılım çözümleri mevcut. Yedek devreler, MPC iyileştirmeleri ve test senaryoları ile risk azaltılabilir. Testlerin tamamlanması ve saha doğrulaması kritik. Bu rapor, QA ve test ekipleri ile sistem tasarımcılarına risk değerlendirme ve iyileştirme planı olarak sunulabilir.</w:t>
      </w:r>
    </w:p>
    <w:p w:rsidR="00AC0C7B" w:rsidRPr="00780933" w:rsidRDefault="00AC0C7B" w:rsidP="00BC4EA6">
      <w:pPr>
        <w:pStyle w:val="NormalWeb"/>
      </w:pPr>
    </w:p>
    <w:p w:rsidR="00BC4EA6" w:rsidRDefault="0049653A" w:rsidP="00BC4EA6">
      <w:pPr>
        <w:pStyle w:val="NormalWeb"/>
      </w:pPr>
      <w:r>
        <w:t xml:space="preserve">7. Kaynakça </w:t>
      </w:r>
    </w:p>
    <w:p w:rsidR="0049653A" w:rsidRDefault="0049653A" w:rsidP="00BC4EA6">
      <w:pPr>
        <w:pStyle w:val="NormalWeb"/>
      </w:pPr>
      <w:proofErr w:type="spellStart"/>
      <w:r>
        <w:t>Di</w:t>
      </w:r>
      <w:proofErr w:type="spellEnd"/>
      <w:r>
        <w:t xml:space="preserve"> Giorgio, A</w:t>
      </w:r>
      <w:proofErr w:type="gramStart"/>
      <w:r>
        <w:t>.,</w:t>
      </w:r>
      <w:proofErr w:type="gramEnd"/>
      <w:r>
        <w:t xml:space="preserve"> </w:t>
      </w:r>
      <w:proofErr w:type="spellStart"/>
      <w:r>
        <w:t>Liberati</w:t>
      </w:r>
      <w:proofErr w:type="spellEnd"/>
      <w:r>
        <w:t xml:space="preserve">, F. &amp; </w:t>
      </w:r>
      <w:proofErr w:type="spellStart"/>
      <w:r>
        <w:t>Canale</w:t>
      </w:r>
      <w:proofErr w:type="spellEnd"/>
      <w:r>
        <w:t xml:space="preserve">, S. (2013). </w:t>
      </w:r>
      <w:r>
        <w:rPr>
          <w:rStyle w:val="Vurgu"/>
        </w:rPr>
        <w:t xml:space="preserve">IEC 61851 </w:t>
      </w:r>
      <w:proofErr w:type="spellStart"/>
      <w:r>
        <w:rPr>
          <w:rStyle w:val="Vurgu"/>
        </w:rPr>
        <w:t>compliant</w:t>
      </w:r>
      <w:proofErr w:type="spellEnd"/>
      <w:r>
        <w:rPr>
          <w:rStyle w:val="Vurgu"/>
        </w:rPr>
        <w:t xml:space="preserve"> </w:t>
      </w:r>
      <w:proofErr w:type="spellStart"/>
      <w:r>
        <w:rPr>
          <w:rStyle w:val="Vurgu"/>
        </w:rPr>
        <w:t>electric</w:t>
      </w:r>
      <w:proofErr w:type="spellEnd"/>
      <w:r>
        <w:rPr>
          <w:rStyle w:val="Vurgu"/>
        </w:rPr>
        <w:t xml:space="preserve"> </w:t>
      </w:r>
      <w:proofErr w:type="spellStart"/>
      <w:r>
        <w:rPr>
          <w:rStyle w:val="Vurgu"/>
        </w:rPr>
        <w:t>vehicle</w:t>
      </w:r>
      <w:proofErr w:type="spellEnd"/>
      <w:r>
        <w:rPr>
          <w:rStyle w:val="Vurgu"/>
        </w:rPr>
        <w:t xml:space="preserve"> </w:t>
      </w:r>
      <w:proofErr w:type="spellStart"/>
      <w:r>
        <w:rPr>
          <w:rStyle w:val="Vurgu"/>
        </w:rPr>
        <w:t>charging</w:t>
      </w:r>
      <w:proofErr w:type="spellEnd"/>
      <w:r>
        <w:rPr>
          <w:rStyle w:val="Vurgu"/>
        </w:rPr>
        <w:t xml:space="preserve"> </w:t>
      </w:r>
      <w:proofErr w:type="spellStart"/>
      <w:r>
        <w:rPr>
          <w:rStyle w:val="Vurgu"/>
        </w:rPr>
        <w:t>control</w:t>
      </w:r>
      <w:proofErr w:type="spellEnd"/>
      <w:r>
        <w:rPr>
          <w:rStyle w:val="Vurgu"/>
        </w:rPr>
        <w:t xml:space="preserve"> in </w:t>
      </w:r>
      <w:proofErr w:type="spellStart"/>
      <w:r>
        <w:rPr>
          <w:rStyle w:val="Vurgu"/>
        </w:rPr>
        <w:t>smartgrids</w:t>
      </w:r>
      <w:proofErr w:type="spellEnd"/>
      <w:r>
        <w:t xml:space="preserve">. </w:t>
      </w:r>
      <w:proofErr w:type="spellStart"/>
      <w:r>
        <w:t>In</w:t>
      </w:r>
      <w:proofErr w:type="spellEnd"/>
      <w:r>
        <w:t xml:space="preserve"> 21st </w:t>
      </w:r>
      <w:proofErr w:type="spellStart"/>
      <w:r>
        <w:t>Mediterranean</w:t>
      </w:r>
      <w:proofErr w:type="spellEnd"/>
      <w:r>
        <w:t xml:space="preserve"> Conference on Control &amp; </w:t>
      </w:r>
      <w:proofErr w:type="spellStart"/>
      <w:r>
        <w:t>Automation</w:t>
      </w:r>
      <w:proofErr w:type="spellEnd"/>
      <w:r>
        <w:t xml:space="preserve"> (MED), </w:t>
      </w:r>
      <w:proofErr w:type="spellStart"/>
      <w:r>
        <w:t>Chania</w:t>
      </w:r>
      <w:proofErr w:type="spellEnd"/>
      <w:r>
        <w:t xml:space="preserve">, Yunanistan, </w:t>
      </w:r>
      <w:proofErr w:type="spellStart"/>
      <w:r>
        <w:t>ss</w:t>
      </w:r>
      <w:proofErr w:type="spellEnd"/>
      <w:r>
        <w:t xml:space="preserve">. 1329–1335. </w:t>
      </w:r>
      <w:hyperlink r:id="rId7" w:history="1">
        <w:r w:rsidRPr="00DB099C">
          <w:rPr>
            <w:rStyle w:val="Kpr"/>
          </w:rPr>
          <w:t>https://doi.org/10.1109/MED.2013.6608892</w:t>
        </w:r>
      </w:hyperlink>
    </w:p>
    <w:p w:rsidR="0049653A" w:rsidRPr="00780933" w:rsidRDefault="0049653A" w:rsidP="00BC4EA6">
      <w:pPr>
        <w:pStyle w:val="NormalWeb"/>
      </w:pPr>
      <w:proofErr w:type="spellStart"/>
      <w:r>
        <w:t>Rata</w:t>
      </w:r>
      <w:proofErr w:type="spellEnd"/>
      <w:r>
        <w:t>, M</w:t>
      </w:r>
      <w:proofErr w:type="gramStart"/>
      <w:r>
        <w:t>.,</w:t>
      </w:r>
      <w:proofErr w:type="gramEnd"/>
      <w:r>
        <w:t xml:space="preserve"> </w:t>
      </w:r>
      <w:proofErr w:type="spellStart"/>
      <w:r>
        <w:t>Rata</w:t>
      </w:r>
      <w:proofErr w:type="spellEnd"/>
      <w:r>
        <w:t xml:space="preserve">, G., </w:t>
      </w:r>
      <w:proofErr w:type="spellStart"/>
      <w:r>
        <w:t>Filote</w:t>
      </w:r>
      <w:proofErr w:type="spellEnd"/>
      <w:r>
        <w:t xml:space="preserve">, C., </w:t>
      </w:r>
      <w:proofErr w:type="spellStart"/>
      <w:r>
        <w:t>Raboaca</w:t>
      </w:r>
      <w:proofErr w:type="spellEnd"/>
      <w:r>
        <w:t xml:space="preserve">, M. S., </w:t>
      </w:r>
      <w:proofErr w:type="spellStart"/>
      <w:r>
        <w:t>Graur</w:t>
      </w:r>
      <w:proofErr w:type="spellEnd"/>
      <w:r>
        <w:t xml:space="preserve">, A., </w:t>
      </w:r>
      <w:proofErr w:type="spellStart"/>
      <w:r>
        <w:t>Afanasov</w:t>
      </w:r>
      <w:proofErr w:type="spellEnd"/>
      <w:r>
        <w:t xml:space="preserve">, C. &amp; </w:t>
      </w:r>
      <w:proofErr w:type="spellStart"/>
      <w:r>
        <w:t>Felseghi</w:t>
      </w:r>
      <w:proofErr w:type="spellEnd"/>
      <w:r>
        <w:t xml:space="preserve">, A.-R. (2020). </w:t>
      </w:r>
      <w:proofErr w:type="spellStart"/>
      <w:r>
        <w:rPr>
          <w:rStyle w:val="Vurgu"/>
        </w:rPr>
        <w:t>The</w:t>
      </w:r>
      <w:proofErr w:type="spellEnd"/>
      <w:r>
        <w:rPr>
          <w:rStyle w:val="Vurgu"/>
        </w:rPr>
        <w:t xml:space="preserve"> </w:t>
      </w:r>
      <w:proofErr w:type="spellStart"/>
      <w:r>
        <w:rPr>
          <w:rStyle w:val="Vurgu"/>
        </w:rPr>
        <w:t>ElectricalVehicle</w:t>
      </w:r>
      <w:proofErr w:type="spellEnd"/>
      <w:r>
        <w:rPr>
          <w:rStyle w:val="Vurgu"/>
        </w:rPr>
        <w:t xml:space="preserve"> Simulator </w:t>
      </w:r>
      <w:proofErr w:type="spellStart"/>
      <w:r>
        <w:rPr>
          <w:rStyle w:val="Vurgu"/>
        </w:rPr>
        <w:t>for</w:t>
      </w:r>
      <w:proofErr w:type="spellEnd"/>
      <w:r>
        <w:rPr>
          <w:rStyle w:val="Vurgu"/>
        </w:rPr>
        <w:t xml:space="preserve"> </w:t>
      </w:r>
      <w:proofErr w:type="spellStart"/>
      <w:r>
        <w:rPr>
          <w:rStyle w:val="Vurgu"/>
        </w:rPr>
        <w:t>Charging</w:t>
      </w:r>
      <w:proofErr w:type="spellEnd"/>
      <w:r>
        <w:rPr>
          <w:rStyle w:val="Vurgu"/>
        </w:rPr>
        <w:t xml:space="preserve"> Station in </w:t>
      </w:r>
      <w:proofErr w:type="spellStart"/>
      <w:r>
        <w:rPr>
          <w:rStyle w:val="Vurgu"/>
        </w:rPr>
        <w:t>Mode</w:t>
      </w:r>
      <w:proofErr w:type="spellEnd"/>
      <w:r>
        <w:rPr>
          <w:rStyle w:val="Vurgu"/>
        </w:rPr>
        <w:t> 3 of IEC 61851</w:t>
      </w:r>
      <w:r>
        <w:rPr>
          <w:rStyle w:val="Vurgu"/>
        </w:rPr>
        <w:noBreakHyphen/>
        <w:t>1 Standard</w:t>
      </w:r>
      <w:r>
        <w:t xml:space="preserve">. </w:t>
      </w:r>
      <w:proofErr w:type="spellStart"/>
      <w:r>
        <w:rPr>
          <w:rStyle w:val="Vurgu"/>
        </w:rPr>
        <w:t>Energies</w:t>
      </w:r>
      <w:proofErr w:type="spellEnd"/>
      <w:r>
        <w:t>, 13(1), 176. https://doi.org/10.3390/en13010176</w:t>
      </w:r>
    </w:p>
    <w:p w:rsidR="00BC4EA6" w:rsidRPr="00780933" w:rsidRDefault="00BC4EA6" w:rsidP="00BC4EA6">
      <w:pPr>
        <w:pStyle w:val="NormalWeb"/>
      </w:pPr>
    </w:p>
    <w:p w:rsidR="00BC4EA6" w:rsidRPr="00780933" w:rsidRDefault="00BC4EA6" w:rsidP="00BC4EA6">
      <w:pPr>
        <w:rPr>
          <w:rFonts w:ascii="Times New Roman" w:hAnsi="Times New Roman" w:cs="Times New Roman"/>
          <w:sz w:val="24"/>
          <w:szCs w:val="24"/>
        </w:rPr>
      </w:pPr>
    </w:p>
    <w:sectPr w:rsidR="00BC4EA6" w:rsidRPr="0078093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AB0509"/>
    <w:multiLevelType w:val="hybridMultilevel"/>
    <w:tmpl w:val="0BB8CBE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12FA47D9"/>
    <w:multiLevelType w:val="multilevel"/>
    <w:tmpl w:val="1DB63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897F34"/>
    <w:multiLevelType w:val="multilevel"/>
    <w:tmpl w:val="9A448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60109D"/>
    <w:multiLevelType w:val="multilevel"/>
    <w:tmpl w:val="2EA4A1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A05444"/>
    <w:multiLevelType w:val="multilevel"/>
    <w:tmpl w:val="EBC8D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A12113"/>
    <w:multiLevelType w:val="multilevel"/>
    <w:tmpl w:val="FCBA3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DB73F4"/>
    <w:multiLevelType w:val="multilevel"/>
    <w:tmpl w:val="388E1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281658"/>
    <w:multiLevelType w:val="multilevel"/>
    <w:tmpl w:val="B498A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6C4124"/>
    <w:multiLevelType w:val="multilevel"/>
    <w:tmpl w:val="9CCEF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7B5028"/>
    <w:multiLevelType w:val="hybridMultilevel"/>
    <w:tmpl w:val="3232103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36093DFD"/>
    <w:multiLevelType w:val="hybridMultilevel"/>
    <w:tmpl w:val="7346BBC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40C74AB9"/>
    <w:multiLevelType w:val="multilevel"/>
    <w:tmpl w:val="B0DA3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5B019D"/>
    <w:multiLevelType w:val="multilevel"/>
    <w:tmpl w:val="01289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836BC3"/>
    <w:multiLevelType w:val="multilevel"/>
    <w:tmpl w:val="E9E0F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ED6140"/>
    <w:multiLevelType w:val="multilevel"/>
    <w:tmpl w:val="3C90A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46E0FFC"/>
    <w:multiLevelType w:val="multilevel"/>
    <w:tmpl w:val="EEA6F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634C76"/>
    <w:multiLevelType w:val="multilevel"/>
    <w:tmpl w:val="297CD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5F576B"/>
    <w:multiLevelType w:val="multilevel"/>
    <w:tmpl w:val="E22E8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D33FDD"/>
    <w:multiLevelType w:val="multilevel"/>
    <w:tmpl w:val="90188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7544C5"/>
    <w:multiLevelType w:val="multilevel"/>
    <w:tmpl w:val="EAAA3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DF3034"/>
    <w:multiLevelType w:val="multilevel"/>
    <w:tmpl w:val="FF4EF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2127A0"/>
    <w:multiLevelType w:val="hybridMultilevel"/>
    <w:tmpl w:val="B33E0486"/>
    <w:lvl w:ilvl="0" w:tplc="041F0001">
      <w:start w:val="1"/>
      <w:numFmt w:val="bullet"/>
      <w:lvlText w:val=""/>
      <w:lvlJc w:val="left"/>
      <w:pPr>
        <w:ind w:left="840" w:hanging="360"/>
      </w:pPr>
      <w:rPr>
        <w:rFonts w:ascii="Symbol" w:hAnsi="Symbol" w:hint="default"/>
      </w:rPr>
    </w:lvl>
    <w:lvl w:ilvl="1" w:tplc="041F0003" w:tentative="1">
      <w:start w:val="1"/>
      <w:numFmt w:val="bullet"/>
      <w:lvlText w:val="o"/>
      <w:lvlJc w:val="left"/>
      <w:pPr>
        <w:ind w:left="1560" w:hanging="360"/>
      </w:pPr>
      <w:rPr>
        <w:rFonts w:ascii="Courier New" w:hAnsi="Courier New" w:cs="Courier New" w:hint="default"/>
      </w:rPr>
    </w:lvl>
    <w:lvl w:ilvl="2" w:tplc="041F0005" w:tentative="1">
      <w:start w:val="1"/>
      <w:numFmt w:val="bullet"/>
      <w:lvlText w:val=""/>
      <w:lvlJc w:val="left"/>
      <w:pPr>
        <w:ind w:left="2280" w:hanging="360"/>
      </w:pPr>
      <w:rPr>
        <w:rFonts w:ascii="Wingdings" w:hAnsi="Wingdings" w:hint="default"/>
      </w:rPr>
    </w:lvl>
    <w:lvl w:ilvl="3" w:tplc="041F0001" w:tentative="1">
      <w:start w:val="1"/>
      <w:numFmt w:val="bullet"/>
      <w:lvlText w:val=""/>
      <w:lvlJc w:val="left"/>
      <w:pPr>
        <w:ind w:left="3000" w:hanging="360"/>
      </w:pPr>
      <w:rPr>
        <w:rFonts w:ascii="Symbol" w:hAnsi="Symbol" w:hint="default"/>
      </w:rPr>
    </w:lvl>
    <w:lvl w:ilvl="4" w:tplc="041F0003" w:tentative="1">
      <w:start w:val="1"/>
      <w:numFmt w:val="bullet"/>
      <w:lvlText w:val="o"/>
      <w:lvlJc w:val="left"/>
      <w:pPr>
        <w:ind w:left="3720" w:hanging="360"/>
      </w:pPr>
      <w:rPr>
        <w:rFonts w:ascii="Courier New" w:hAnsi="Courier New" w:cs="Courier New" w:hint="default"/>
      </w:rPr>
    </w:lvl>
    <w:lvl w:ilvl="5" w:tplc="041F0005" w:tentative="1">
      <w:start w:val="1"/>
      <w:numFmt w:val="bullet"/>
      <w:lvlText w:val=""/>
      <w:lvlJc w:val="left"/>
      <w:pPr>
        <w:ind w:left="4440" w:hanging="360"/>
      </w:pPr>
      <w:rPr>
        <w:rFonts w:ascii="Wingdings" w:hAnsi="Wingdings" w:hint="default"/>
      </w:rPr>
    </w:lvl>
    <w:lvl w:ilvl="6" w:tplc="041F0001" w:tentative="1">
      <w:start w:val="1"/>
      <w:numFmt w:val="bullet"/>
      <w:lvlText w:val=""/>
      <w:lvlJc w:val="left"/>
      <w:pPr>
        <w:ind w:left="5160" w:hanging="360"/>
      </w:pPr>
      <w:rPr>
        <w:rFonts w:ascii="Symbol" w:hAnsi="Symbol" w:hint="default"/>
      </w:rPr>
    </w:lvl>
    <w:lvl w:ilvl="7" w:tplc="041F0003" w:tentative="1">
      <w:start w:val="1"/>
      <w:numFmt w:val="bullet"/>
      <w:lvlText w:val="o"/>
      <w:lvlJc w:val="left"/>
      <w:pPr>
        <w:ind w:left="5880" w:hanging="360"/>
      </w:pPr>
      <w:rPr>
        <w:rFonts w:ascii="Courier New" w:hAnsi="Courier New" w:cs="Courier New" w:hint="default"/>
      </w:rPr>
    </w:lvl>
    <w:lvl w:ilvl="8" w:tplc="041F0005" w:tentative="1">
      <w:start w:val="1"/>
      <w:numFmt w:val="bullet"/>
      <w:lvlText w:val=""/>
      <w:lvlJc w:val="left"/>
      <w:pPr>
        <w:ind w:left="6600" w:hanging="360"/>
      </w:pPr>
      <w:rPr>
        <w:rFonts w:ascii="Wingdings" w:hAnsi="Wingdings" w:hint="default"/>
      </w:rPr>
    </w:lvl>
  </w:abstractNum>
  <w:num w:numId="1">
    <w:abstractNumId w:val="12"/>
  </w:num>
  <w:num w:numId="2">
    <w:abstractNumId w:val="5"/>
  </w:num>
  <w:num w:numId="3">
    <w:abstractNumId w:val="3"/>
  </w:num>
  <w:num w:numId="4">
    <w:abstractNumId w:val="16"/>
  </w:num>
  <w:num w:numId="5">
    <w:abstractNumId w:val="8"/>
  </w:num>
  <w:num w:numId="6">
    <w:abstractNumId w:val="19"/>
  </w:num>
  <w:num w:numId="7">
    <w:abstractNumId w:val="13"/>
  </w:num>
  <w:num w:numId="8">
    <w:abstractNumId w:val="7"/>
  </w:num>
  <w:num w:numId="9">
    <w:abstractNumId w:val="11"/>
  </w:num>
  <w:num w:numId="10">
    <w:abstractNumId w:val="14"/>
  </w:num>
  <w:num w:numId="11">
    <w:abstractNumId w:val="20"/>
  </w:num>
  <w:num w:numId="12">
    <w:abstractNumId w:val="1"/>
  </w:num>
  <w:num w:numId="13">
    <w:abstractNumId w:val="18"/>
  </w:num>
  <w:num w:numId="14">
    <w:abstractNumId w:val="4"/>
  </w:num>
  <w:num w:numId="15">
    <w:abstractNumId w:val="17"/>
  </w:num>
  <w:num w:numId="16">
    <w:abstractNumId w:val="6"/>
  </w:num>
  <w:num w:numId="17">
    <w:abstractNumId w:val="15"/>
  </w:num>
  <w:num w:numId="18">
    <w:abstractNumId w:val="2"/>
  </w:num>
  <w:num w:numId="19">
    <w:abstractNumId w:val="21"/>
  </w:num>
  <w:num w:numId="20">
    <w:abstractNumId w:val="0"/>
  </w:num>
  <w:num w:numId="21">
    <w:abstractNumId w:val="10"/>
  </w:num>
  <w:num w:numId="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4BBC"/>
    <w:rsid w:val="00243EB4"/>
    <w:rsid w:val="003C438A"/>
    <w:rsid w:val="0049653A"/>
    <w:rsid w:val="00780933"/>
    <w:rsid w:val="007C4BBC"/>
    <w:rsid w:val="00891372"/>
    <w:rsid w:val="00AC0C7B"/>
    <w:rsid w:val="00BC4EA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E2739"/>
  <w15:chartTrackingRefBased/>
  <w15:docId w15:val="{C52DDAE1-BE2E-4C5D-B213-AF71630A9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2">
    <w:name w:val="heading 2"/>
    <w:basedOn w:val="Normal"/>
    <w:next w:val="Normal"/>
    <w:link w:val="Balk2Char"/>
    <w:uiPriority w:val="9"/>
    <w:semiHidden/>
    <w:unhideWhenUsed/>
    <w:qFormat/>
    <w:rsid w:val="00BC4EA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Balk3">
    <w:name w:val="heading 3"/>
    <w:basedOn w:val="Normal"/>
    <w:link w:val="Balk3Char"/>
    <w:uiPriority w:val="9"/>
    <w:qFormat/>
    <w:rsid w:val="00BC4EA6"/>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Gl">
    <w:name w:val="Strong"/>
    <w:basedOn w:val="VarsaylanParagrafYazTipi"/>
    <w:uiPriority w:val="22"/>
    <w:qFormat/>
    <w:rsid w:val="00BC4EA6"/>
    <w:rPr>
      <w:b/>
      <w:bCs/>
    </w:rPr>
  </w:style>
  <w:style w:type="character" w:customStyle="1" w:styleId="Balk3Char">
    <w:name w:val="Başlık 3 Char"/>
    <w:basedOn w:val="VarsaylanParagrafYazTipi"/>
    <w:link w:val="Balk3"/>
    <w:uiPriority w:val="9"/>
    <w:rsid w:val="00BC4EA6"/>
    <w:rPr>
      <w:rFonts w:ascii="Times New Roman" w:eastAsia="Times New Roman" w:hAnsi="Times New Roman" w:cs="Times New Roman"/>
      <w:b/>
      <w:bCs/>
      <w:sz w:val="27"/>
      <w:szCs w:val="27"/>
      <w:lang w:eastAsia="tr-TR"/>
    </w:rPr>
  </w:style>
  <w:style w:type="paragraph" w:styleId="NormalWeb">
    <w:name w:val="Normal (Web)"/>
    <w:basedOn w:val="Normal"/>
    <w:uiPriority w:val="99"/>
    <w:unhideWhenUsed/>
    <w:rsid w:val="00BC4EA6"/>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Vurgu">
    <w:name w:val="Emphasis"/>
    <w:basedOn w:val="VarsaylanParagrafYazTipi"/>
    <w:uiPriority w:val="20"/>
    <w:qFormat/>
    <w:rsid w:val="00BC4EA6"/>
    <w:rPr>
      <w:i/>
      <w:iCs/>
    </w:rPr>
  </w:style>
  <w:style w:type="character" w:customStyle="1" w:styleId="Balk2Char">
    <w:name w:val="Başlık 2 Char"/>
    <w:basedOn w:val="VarsaylanParagrafYazTipi"/>
    <w:link w:val="Balk2"/>
    <w:uiPriority w:val="9"/>
    <w:semiHidden/>
    <w:rsid w:val="00BC4EA6"/>
    <w:rPr>
      <w:rFonts w:asciiTheme="majorHAnsi" w:eastAsiaTheme="majorEastAsia" w:hAnsiTheme="majorHAnsi" w:cstheme="majorBidi"/>
      <w:color w:val="2E74B5" w:themeColor="accent1" w:themeShade="BF"/>
      <w:sz w:val="26"/>
      <w:szCs w:val="26"/>
    </w:rPr>
  </w:style>
  <w:style w:type="character" w:customStyle="1" w:styleId="ms-1">
    <w:name w:val="ms-1"/>
    <w:basedOn w:val="VarsaylanParagrafYazTipi"/>
    <w:rsid w:val="00780933"/>
  </w:style>
  <w:style w:type="character" w:customStyle="1" w:styleId="max-w-15ch">
    <w:name w:val="max-w-[15ch]"/>
    <w:basedOn w:val="VarsaylanParagrafYazTipi"/>
    <w:rsid w:val="00780933"/>
  </w:style>
  <w:style w:type="character" w:customStyle="1" w:styleId="-me-1">
    <w:name w:val="-me-1"/>
    <w:basedOn w:val="VarsaylanParagrafYazTipi"/>
    <w:rsid w:val="00780933"/>
  </w:style>
  <w:style w:type="character" w:styleId="Kpr">
    <w:name w:val="Hyperlink"/>
    <w:basedOn w:val="VarsaylanParagrafYazTipi"/>
    <w:uiPriority w:val="99"/>
    <w:unhideWhenUsed/>
    <w:rsid w:val="0049653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218">
      <w:bodyDiv w:val="1"/>
      <w:marLeft w:val="0"/>
      <w:marRight w:val="0"/>
      <w:marTop w:val="0"/>
      <w:marBottom w:val="0"/>
      <w:divBdr>
        <w:top w:val="none" w:sz="0" w:space="0" w:color="auto"/>
        <w:left w:val="none" w:sz="0" w:space="0" w:color="auto"/>
        <w:bottom w:val="none" w:sz="0" w:space="0" w:color="auto"/>
        <w:right w:val="none" w:sz="0" w:space="0" w:color="auto"/>
      </w:divBdr>
    </w:div>
    <w:div w:id="160630067">
      <w:bodyDiv w:val="1"/>
      <w:marLeft w:val="0"/>
      <w:marRight w:val="0"/>
      <w:marTop w:val="0"/>
      <w:marBottom w:val="0"/>
      <w:divBdr>
        <w:top w:val="none" w:sz="0" w:space="0" w:color="auto"/>
        <w:left w:val="none" w:sz="0" w:space="0" w:color="auto"/>
        <w:bottom w:val="none" w:sz="0" w:space="0" w:color="auto"/>
        <w:right w:val="none" w:sz="0" w:space="0" w:color="auto"/>
      </w:divBdr>
    </w:div>
    <w:div w:id="175123561">
      <w:bodyDiv w:val="1"/>
      <w:marLeft w:val="0"/>
      <w:marRight w:val="0"/>
      <w:marTop w:val="0"/>
      <w:marBottom w:val="0"/>
      <w:divBdr>
        <w:top w:val="none" w:sz="0" w:space="0" w:color="auto"/>
        <w:left w:val="none" w:sz="0" w:space="0" w:color="auto"/>
        <w:bottom w:val="none" w:sz="0" w:space="0" w:color="auto"/>
        <w:right w:val="none" w:sz="0" w:space="0" w:color="auto"/>
      </w:divBdr>
    </w:div>
    <w:div w:id="233783309">
      <w:bodyDiv w:val="1"/>
      <w:marLeft w:val="0"/>
      <w:marRight w:val="0"/>
      <w:marTop w:val="0"/>
      <w:marBottom w:val="0"/>
      <w:divBdr>
        <w:top w:val="none" w:sz="0" w:space="0" w:color="auto"/>
        <w:left w:val="none" w:sz="0" w:space="0" w:color="auto"/>
        <w:bottom w:val="none" w:sz="0" w:space="0" w:color="auto"/>
        <w:right w:val="none" w:sz="0" w:space="0" w:color="auto"/>
      </w:divBdr>
    </w:div>
    <w:div w:id="419713327">
      <w:bodyDiv w:val="1"/>
      <w:marLeft w:val="0"/>
      <w:marRight w:val="0"/>
      <w:marTop w:val="0"/>
      <w:marBottom w:val="0"/>
      <w:divBdr>
        <w:top w:val="none" w:sz="0" w:space="0" w:color="auto"/>
        <w:left w:val="none" w:sz="0" w:space="0" w:color="auto"/>
        <w:bottom w:val="none" w:sz="0" w:space="0" w:color="auto"/>
        <w:right w:val="none" w:sz="0" w:space="0" w:color="auto"/>
      </w:divBdr>
    </w:div>
    <w:div w:id="659433052">
      <w:bodyDiv w:val="1"/>
      <w:marLeft w:val="0"/>
      <w:marRight w:val="0"/>
      <w:marTop w:val="0"/>
      <w:marBottom w:val="0"/>
      <w:divBdr>
        <w:top w:val="none" w:sz="0" w:space="0" w:color="auto"/>
        <w:left w:val="none" w:sz="0" w:space="0" w:color="auto"/>
        <w:bottom w:val="none" w:sz="0" w:space="0" w:color="auto"/>
        <w:right w:val="none" w:sz="0" w:space="0" w:color="auto"/>
      </w:divBdr>
    </w:div>
    <w:div w:id="670107154">
      <w:bodyDiv w:val="1"/>
      <w:marLeft w:val="0"/>
      <w:marRight w:val="0"/>
      <w:marTop w:val="0"/>
      <w:marBottom w:val="0"/>
      <w:divBdr>
        <w:top w:val="none" w:sz="0" w:space="0" w:color="auto"/>
        <w:left w:val="none" w:sz="0" w:space="0" w:color="auto"/>
        <w:bottom w:val="none" w:sz="0" w:space="0" w:color="auto"/>
        <w:right w:val="none" w:sz="0" w:space="0" w:color="auto"/>
      </w:divBdr>
      <w:divsChild>
        <w:div w:id="208541438">
          <w:marLeft w:val="0"/>
          <w:marRight w:val="0"/>
          <w:marTop w:val="0"/>
          <w:marBottom w:val="0"/>
          <w:divBdr>
            <w:top w:val="none" w:sz="0" w:space="0" w:color="auto"/>
            <w:left w:val="none" w:sz="0" w:space="0" w:color="auto"/>
            <w:bottom w:val="none" w:sz="0" w:space="0" w:color="auto"/>
            <w:right w:val="none" w:sz="0" w:space="0" w:color="auto"/>
          </w:divBdr>
          <w:divsChild>
            <w:div w:id="718557400">
              <w:marLeft w:val="0"/>
              <w:marRight w:val="0"/>
              <w:marTop w:val="0"/>
              <w:marBottom w:val="0"/>
              <w:divBdr>
                <w:top w:val="none" w:sz="0" w:space="0" w:color="auto"/>
                <w:left w:val="none" w:sz="0" w:space="0" w:color="auto"/>
                <w:bottom w:val="none" w:sz="0" w:space="0" w:color="auto"/>
                <w:right w:val="none" w:sz="0" w:space="0" w:color="auto"/>
              </w:divBdr>
            </w:div>
          </w:divsChild>
        </w:div>
        <w:div w:id="5726654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1135854">
      <w:bodyDiv w:val="1"/>
      <w:marLeft w:val="0"/>
      <w:marRight w:val="0"/>
      <w:marTop w:val="0"/>
      <w:marBottom w:val="0"/>
      <w:divBdr>
        <w:top w:val="none" w:sz="0" w:space="0" w:color="auto"/>
        <w:left w:val="none" w:sz="0" w:space="0" w:color="auto"/>
        <w:bottom w:val="none" w:sz="0" w:space="0" w:color="auto"/>
        <w:right w:val="none" w:sz="0" w:space="0" w:color="auto"/>
      </w:divBdr>
    </w:div>
    <w:div w:id="1330711428">
      <w:bodyDiv w:val="1"/>
      <w:marLeft w:val="0"/>
      <w:marRight w:val="0"/>
      <w:marTop w:val="0"/>
      <w:marBottom w:val="0"/>
      <w:divBdr>
        <w:top w:val="none" w:sz="0" w:space="0" w:color="auto"/>
        <w:left w:val="none" w:sz="0" w:space="0" w:color="auto"/>
        <w:bottom w:val="none" w:sz="0" w:space="0" w:color="auto"/>
        <w:right w:val="none" w:sz="0" w:space="0" w:color="auto"/>
      </w:divBdr>
    </w:div>
    <w:div w:id="1387604941">
      <w:bodyDiv w:val="1"/>
      <w:marLeft w:val="0"/>
      <w:marRight w:val="0"/>
      <w:marTop w:val="0"/>
      <w:marBottom w:val="0"/>
      <w:divBdr>
        <w:top w:val="none" w:sz="0" w:space="0" w:color="auto"/>
        <w:left w:val="none" w:sz="0" w:space="0" w:color="auto"/>
        <w:bottom w:val="none" w:sz="0" w:space="0" w:color="auto"/>
        <w:right w:val="none" w:sz="0" w:space="0" w:color="auto"/>
      </w:divBdr>
      <w:divsChild>
        <w:div w:id="1564561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5675283">
      <w:bodyDiv w:val="1"/>
      <w:marLeft w:val="0"/>
      <w:marRight w:val="0"/>
      <w:marTop w:val="0"/>
      <w:marBottom w:val="0"/>
      <w:divBdr>
        <w:top w:val="none" w:sz="0" w:space="0" w:color="auto"/>
        <w:left w:val="none" w:sz="0" w:space="0" w:color="auto"/>
        <w:bottom w:val="none" w:sz="0" w:space="0" w:color="auto"/>
        <w:right w:val="none" w:sz="0" w:space="0" w:color="auto"/>
      </w:divBdr>
    </w:div>
    <w:div w:id="1969773758">
      <w:bodyDiv w:val="1"/>
      <w:marLeft w:val="0"/>
      <w:marRight w:val="0"/>
      <w:marTop w:val="0"/>
      <w:marBottom w:val="0"/>
      <w:divBdr>
        <w:top w:val="none" w:sz="0" w:space="0" w:color="auto"/>
        <w:left w:val="none" w:sz="0" w:space="0" w:color="auto"/>
        <w:bottom w:val="none" w:sz="0" w:space="0" w:color="auto"/>
        <w:right w:val="none" w:sz="0" w:space="0" w:color="auto"/>
      </w:divBdr>
    </w:div>
    <w:div w:id="2047294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109/MED.2013.660889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vt.com.tr/tr/makale/ts-en-61851-elektrikli-sarj-istasyonlari?utm_source=chatgpt.com" TargetMode="External"/><Relationship Id="rId5" Type="http://schemas.openxmlformats.org/officeDocument/2006/relationships/hyperlink" Target="https://www.otomasyonavm.com/tr/iec-61851?utm_source=chatgpt.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2</Pages>
  <Words>596</Words>
  <Characters>3398</Characters>
  <Application>Microsoft Office Word</Application>
  <DocSecurity>0</DocSecurity>
  <Lines>28</Lines>
  <Paragraphs>7</Paragraphs>
  <ScaleCrop>false</ScaleCrop>
  <HeadingPairs>
    <vt:vector size="2" baseType="variant">
      <vt:variant>
        <vt:lpstr>Konu Başlığı</vt:lpstr>
      </vt:variant>
      <vt:variant>
        <vt:i4>1</vt:i4>
      </vt:variant>
    </vt:vector>
  </HeadingPairs>
  <TitlesOfParts>
    <vt:vector size="1" baseType="lpstr">
      <vt:lpstr/>
    </vt:vector>
  </TitlesOfParts>
  <Company>NouS/TncTR</Company>
  <LinksUpToDate>false</LinksUpToDate>
  <CharactersWithSpaces>3987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WIN10</dc:creator>
  <cp:keywords/>
  <dc:description/>
  <cp:lastModifiedBy>WIN10</cp:lastModifiedBy>
  <cp:revision>7</cp:revision>
  <dcterms:created xsi:type="dcterms:W3CDTF">2025-11-01T13:04:00Z</dcterms:created>
  <dcterms:modified xsi:type="dcterms:W3CDTF">2025-11-23T09:07:00Z</dcterms:modified>
</cp:coreProperties>
</file>