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wqxx3kcf3kl3" w:id="0"/>
      <w:bookmarkEnd w:id="0"/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314700" cy="281720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17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j1cqg9gb6vv" w:id="1"/>
      <w:bookmarkEnd w:id="1"/>
      <w:r w:rsidDel="00000000" w:rsidR="00000000" w:rsidRPr="00000000">
        <w:rPr>
          <w:rtl w:val="0"/>
        </w:rPr>
        <w:t xml:space="preserve">State Transition Diagram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9050" distT="19050" distL="19050" distR="19050">
            <wp:extent cx="6072632" cy="32718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632" cy="327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swsp0z65x7m1" w:id="2"/>
      <w:bookmarkEnd w:id="2"/>
      <w:r w:rsidDel="00000000" w:rsidR="00000000" w:rsidRPr="00000000">
        <w:rPr>
          <w:rtl w:val="0"/>
        </w:rPr>
        <w:t xml:space="preserve">Data Flow Diagram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9050" distT="19050" distL="19050" distR="19050">
            <wp:extent cx="5560500" cy="473377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0500" cy="47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5l6swhdnjqdz" w:id="3"/>
      <w:bookmarkEnd w:id="3"/>
      <w:r w:rsidDel="00000000" w:rsidR="00000000" w:rsidRPr="00000000">
        <w:rPr>
          <w:rtl w:val="0"/>
        </w:rPr>
        <w:t xml:space="preserve">High-Level Architecture Diagram &amp; Interactions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9050" distT="19050" distL="19050" distR="19050">
            <wp:extent cx="4223264" cy="32242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3264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