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3864"/>
          <w:sz w:val="52"/>
        </w:rPr>
        <w:t>Retail — customer traits and ECL attribution</w:t>
      </w:r>
    </w:p>
    <w:p>
      <w:pPr>
        <w:jc w:val="center"/>
      </w:pPr>
      <w:r>
        <w:rPr>
          <w:color w:val="5B636B"/>
          <w:sz w:val="26"/>
        </w:rPr>
        <w:t>Q1 2026 against Q2 2026</w:t>
      </w:r>
    </w:p>
    <w:p>
      <w:pPr>
        <w:jc w:val="center"/>
      </w:pPr>
      <w:r>
        <w:rPr>
          <w:i/>
          <w:sz w:val="22"/>
        </w:rPr>
        <w:t>Customer-trait deterioration report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880"/>
          </w:tcPr>
          <w:p>
            <w:r>
              <w:rPr>
                <w:b/>
                <w:sz w:val="16"/>
              </w:rPr>
              <w:t>Field</w:t>
            </w:r>
          </w:p>
        </w:tc>
        <w:tc>
          <w:tcPr>
            <w:tcW w:type="dxa" w:w="6336"/>
          </w:tcPr>
          <w:p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Report</w:t>
            </w:r>
          </w:p>
        </w:tc>
        <w:tc>
          <w:tcPr>
            <w:tcW w:type="dxa" w:w="6336"/>
          </w:tcPr>
          <w:p>
            <w:r>
              <w:rPr>
                <w:sz w:val="16"/>
              </w:rPr>
              <w:t>Customer-trait deterioration report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Title</w:t>
            </w:r>
          </w:p>
        </w:tc>
        <w:tc>
          <w:tcPr>
            <w:tcW w:type="dxa" w:w="6336"/>
          </w:tcPr>
          <w:p>
            <w:r>
              <w:rPr>
                <w:sz w:val="16"/>
              </w:rPr>
              <w:t>Retail — customer traits and ECL attribution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Scope</w:t>
            </w:r>
          </w:p>
        </w:tc>
        <w:tc>
          <w:tcPr>
            <w:tcW w:type="dxa" w:w="6336"/>
          </w:tcPr>
          <w:p>
            <w:r>
              <w:rPr>
                <w:sz w:val="16"/>
              </w:rPr>
              <w:t>Retail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Reporting month</w:t>
            </w:r>
          </w:p>
        </w:tc>
        <w:tc>
          <w:tcPr>
            <w:tcW w:type="dxa" w:w="633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Population</w:t>
            </w:r>
          </w:p>
        </w:tc>
        <w:tc>
          <w:tcPr>
            <w:tcW w:type="dxa" w:w="6336"/>
          </w:tcPr>
          <w:p>
            <w:r>
              <w:rPr>
                <w:sz w:val="16"/>
              </w:rPr>
              <w:t>42,208 customers across 58,102 facilities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Prepared by</w:t>
            </w:r>
          </w:p>
        </w:tc>
        <w:tc>
          <w:tcPr>
            <w:tcW w:type="dxa" w:w="6336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Prepared at (UTC)</w:t>
            </w:r>
          </w:p>
        </w:tc>
        <w:tc>
          <w:tcPr>
            <w:tcW w:type="dxa" w:w="6336"/>
          </w:tcPr>
          <w:p>
            <w:r>
              <w:rPr>
                <w:sz w:val="16"/>
              </w:rPr>
              <w:t>2026-09-15T09:04:08+00:00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6336"/>
          </w:tcPr>
          <w:p>
            <w:r>
              <w:rPr>
                <w:sz w:val="16"/>
              </w:rPr>
              <w:t>Current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Service version</w:t>
            </w:r>
          </w:p>
        </w:tc>
        <w:tc>
          <w:tcPr>
            <w:tcW w:type="dxa" w:w="6336"/>
          </w:tcPr>
          <w:p>
            <w:r>
              <w:rPr>
                <w:sz w:val="16"/>
              </w:rPr>
              <w:t>retail-report-service-1.0.0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Analysis id</w:t>
            </w:r>
          </w:p>
        </w:tc>
        <w:tc>
          <w:tcPr>
            <w:tcW w:type="dxa" w:w="6336"/>
          </w:tcPr>
          <w:p>
            <w:r>
              <w:rPr>
                <w:sz w:val="16"/>
              </w:rPr>
              <w:t>retail_trait_attribution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Analysis version</w:t>
            </w:r>
          </w:p>
        </w:tc>
        <w:tc>
          <w:tcPr>
            <w:tcW w:type="dxa" w:w="6336"/>
          </w:tcPr>
          <w:p>
            <w:r>
              <w:rPr>
                <w:sz w:val="16"/>
              </w:rPr>
              <w:t>1.0.0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Period policy</w:t>
            </w:r>
          </w:p>
        </w:tc>
        <w:tc>
          <w:tcPr>
            <w:tcW w:type="dxa" w:w="6336"/>
          </w:tcPr>
          <w:p>
            <w:r>
              <w:rPr>
                <w:sz w:val="16"/>
              </w:rPr>
              <w:t>retail-period-policy-1.0.0</w:t>
            </w:r>
          </w:p>
        </w:tc>
      </w:tr>
    </w:tbl>
    <w:p/>
    <w:p>
      <w:pPr>
        <w:pStyle w:val="Heading2"/>
      </w:pPr>
      <w:r>
        <w:t>Provenance and limitations</w:t>
      </w:r>
    </w:p>
    <w:p>
      <w:r>
        <w:t>Synthetic Saudi retail demonstration data and a synthetic demonstration model. This document is not ANB customer data, not an ANB-approved model, not an ANB policy, not a SAMA requirement, and has not been independently validated. It is a demonstration of a workflow. No credit decision should rest on it.</w:t>
      </w:r>
    </w:p>
    <w:p>
      <w:pPr>
        <w:pStyle w:val="ListBullet"/>
      </w:pPr>
      <w:r>
        <w:t>Model-based attribution, not proven real-world causation. The numbers are what the governed pipeline produces when matched observations are evaluated at the two periods; they are not evidence that a trait caused a loss.</w:t>
      </w:r>
    </w:p>
    <w:p>
      <w:pPr>
        <w:pStyle w:val="ListBullet"/>
      </w:pPr>
      <w:r>
        <w:t>Application-scorecard inputs are recorded at origination and cannot deteriorate. Their distributions move when the population moves, and are classified as historical rather than as deterioration.</w:t>
      </w:r>
    </w:p>
    <w:p>
      <w:pPr>
        <w:pStyle w:val="ListBullet"/>
      </w:pPr>
      <w:r>
        <w:t>Correlated inputs are grouped by source. Adding one-variable shocks together would count one underlying change several times and is not done.</w:t>
      </w:r>
    </w:p>
    <w:p>
      <w:pPr>
        <w:pStyle w:val="ListBullet"/>
      </w:pPr>
      <w:r>
        <w:t>Synthetic demonstration data. Not ANB customer history and not an approved model.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 TOC \o "1-2" \h \z \u </w:instrText>
        <w:fldChar w:fldCharType="end"/>
      </w:r>
    </w:p>
    <w:p>
      <w:r>
        <w:br w:type="page"/>
      </w:r>
    </w:p>
    <w:p>
      <w:pPr>
        <w:pStyle w:val="Heading1"/>
      </w:pPr>
      <w:r>
        <w:t>1. Question, periods and population</w:t>
      </w:r>
    </w:p>
    <w:p>
      <w:r>
        <w:t>Which inputs of the active Retail scorecards moved between Q1 2026 and Q2 2026, measured at 2026-03 against 2026-06, and what the governed pipeline makes of that. The model version is held fixed across both periods so that a model change cannot be read as a trait change.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3456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5760"/>
          </w:tcPr>
          <w:p>
            <w:r>
              <w:rPr>
                <w:b/>
                <w:sz w:val="16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Current window</w:t>
            </w:r>
          </w:p>
        </w:tc>
        <w:tc>
          <w:tcPr>
            <w:tcW w:type="dxa" w:w="5760"/>
          </w:tcPr>
          <w:p>
            <w:r>
              <w:rPr>
                <w:sz w:val="16"/>
              </w:rPr>
              <w:t>Q2 2026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Comparison window</w:t>
            </w:r>
          </w:p>
        </w:tc>
        <w:tc>
          <w:tcPr>
            <w:tcW w:type="dxa" w:w="5760"/>
          </w:tcPr>
          <w:p>
            <w:r>
              <w:rPr>
                <w:sz w:val="16"/>
              </w:rPr>
              <w:t>Q1 2026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Measured at</w:t>
            </w:r>
          </w:p>
        </w:tc>
        <w:tc>
          <w:tcPr>
            <w:tcW w:type="dxa" w:w="5760"/>
          </w:tcPr>
          <w:p>
            <w:r>
              <w:rPr>
                <w:sz w:val="16"/>
              </w:rPr>
              <w:t>2026-03 against 2026-06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Alternative mode</w:t>
            </w:r>
          </w:p>
        </w:tc>
        <w:tc>
          <w:tcPr>
            <w:tcW w:type="dxa" w:w="5760"/>
          </w:tcPr>
          <w:p>
            <w:r>
              <w:rPr>
                <w:sz w:val="16"/>
              </w:rPr>
              <w:t>quarter to date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Facilities</w:t>
            </w:r>
          </w:p>
        </w:tc>
        <w:tc>
          <w:tcPr>
            <w:tcW w:type="dxa" w:w="5760"/>
          </w:tcPr>
          <w:p>
            <w:r>
              <w:rPr>
                <w:sz w:val="16"/>
              </w:rPr>
              <w:t>58,102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Customers</w:t>
            </w:r>
          </w:p>
        </w:tc>
        <w:tc>
          <w:tcPr>
            <w:tcW w:type="dxa" w:w="5760"/>
          </w:tcPr>
          <w:p>
            <w:r>
              <w:rPr>
                <w:sz w:val="16"/>
              </w:rPr>
              <w:t>42,208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Matched facilities</w:t>
            </w:r>
          </w:p>
        </w:tc>
        <w:tc>
          <w:tcPr>
            <w:tcW w:type="dxa" w:w="5760"/>
          </w:tcPr>
          <w:p>
            <w:r>
              <w:rPr>
                <w:sz w:val="16"/>
              </w:rPr>
              <w:t>53,154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Entered the book</w:t>
            </w:r>
          </w:p>
        </w:tc>
        <w:tc>
          <w:tcPr>
            <w:tcW w:type="dxa" w:w="5760"/>
          </w:tcPr>
          <w:p>
            <w:r>
              <w:rPr>
                <w:sz w:val="16"/>
              </w:rPr>
              <w:t>4,948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Left the book</w:t>
            </w:r>
          </w:p>
        </w:tc>
        <w:tc>
          <w:tcPr>
            <w:tcW w:type="dxa" w:w="5760"/>
          </w:tcPr>
          <w:p>
            <w:r>
              <w:rPr>
                <w:sz w:val="16"/>
              </w:rPr>
              <w:t>3,061</w:t>
            </w:r>
          </w:p>
        </w:tc>
      </w:tr>
    </w:tbl>
    <w:p/>
    <w:p>
      <w:r>
        <w:t>Matched facilities carry the trait comparison. Entrants and exits change the book's composition and are counted separately; their different characteristics are not attributed to existing customers.</w:t>
      </w:r>
    </w:p>
    <w:p>
      <w:pPr>
        <w:pStyle w:val="Heading1"/>
      </w:pPr>
      <w:r>
        <w:t>2. Executive answer</w:t>
      </w:r>
    </w:p>
    <w:p>
      <w:pPr>
        <w:pStyle w:val="Heading3"/>
      </w:pPr>
      <w:r>
        <w:t>Main concern</w:t>
      </w:r>
    </w:p>
    <w:p>
      <w:r>
        <w:t>Utilisation change over 3 months — Credit Card behavioural moved most: CSI 0.035882, and the points it contributes to that score fell 0.56 on average across 13,443 facilities carrying SAR 113,689,783.</w:t>
      </w:r>
    </w:p>
    <w:p>
      <w:pPr>
        <w:pStyle w:val="Heading3"/>
      </w:pPr>
      <w:r>
        <w:t>What changed</w:t>
      </w:r>
    </w:p>
    <w:p>
      <w:r>
        <w:t>8,195 facilities moved to a worse score band and 9,219 to a better one, on 53,154 scored in both periods. More accounts improved band than worsened; the deterioration is in where the exposure sits.</w:t>
      </w:r>
    </w:p>
    <w:p>
      <w:pPr>
        <w:pStyle w:val="Heading3"/>
      </w:pPr>
      <w:r>
        <w:t>Why / drivers</w:t>
      </w:r>
    </w:p>
    <w:p>
      <w:r>
        <w:t>5 behavioural inputs deteriorated past the CSI 0.02 reporting threshold and 0 improved past it; 62 moved too little to report either way, which is where the band upgrades come from. 55 inputs are fixed at origination and cannot deteriorate — their movement is portfolio composition, not customer risk.</w:t>
      </w:r>
    </w:p>
    <w:p>
      <w:pPr>
        <w:pStyle w:val="Heading3"/>
      </w:pPr>
      <w:r>
        <w:t>Materiality / next action</w:t>
      </w:r>
    </w:p>
    <w:p>
      <w:r>
        <w:t>The allowance on the matched population moved from SAR 39,287,482 to SAR 40,647,164, of which SAR 1,704,825 is probability of default. Stress the affected cohort in What-If before deciding.</w:t>
      </w:r>
    </w:p>
    <w:p>
      <w:pPr>
        <w:pStyle w:val="Heading1"/>
      </w:pPr>
      <w:r>
        <w:t>3. Every model input, reviewed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3456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5760"/>
          </w:tcPr>
          <w:p>
            <w:r>
              <w:rPr>
                <w:b/>
                <w:sz w:val="16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Total</w:t>
            </w:r>
          </w:p>
        </w:tc>
        <w:tc>
          <w:tcPr>
            <w:tcW w:type="dxa" w:w="5760"/>
          </w:tcPr>
          <w:p>
            <w:r>
              <w:rPr>
                <w:sz w:val="16"/>
              </w:rPr>
              <w:t>123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Deteriorated</w:t>
            </w:r>
          </w:p>
        </w:tc>
        <w:tc>
          <w:tcPr>
            <w:tcW w:type="dxa" w:w="5760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Improved</w:t>
            </w:r>
          </w:p>
        </w:tc>
        <w:tc>
          <w:tcPr>
            <w:tcW w:type="dxa" w:w="576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5760"/>
          </w:tcPr>
          <w:p>
            <w:r>
              <w:rPr>
                <w:sz w:val="16"/>
              </w:rPr>
              <w:t>62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Historical or fixed at origination</w:t>
            </w:r>
          </w:p>
        </w:tc>
        <w:tc>
          <w:tcPr>
            <w:tcW w:type="dxa" w:w="5760"/>
          </w:tcPr>
          <w:p>
            <w:r>
              <w:rPr>
                <w:sz w:val="16"/>
              </w:rPr>
              <w:t>55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Not comparable</w:t>
            </w:r>
          </w:p>
        </w:tc>
        <w:tc>
          <w:tcPr>
            <w:tcW w:type="dxa" w:w="576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Data quality affected</w:t>
            </w:r>
          </w:p>
        </w:tc>
        <w:tc>
          <w:tcPr>
            <w:tcW w:type="dxa" w:w="5760"/>
          </w:tcPr>
          <w:p>
            <w:r>
              <w:rPr>
                <w:sz w:val="16"/>
              </w:rPr>
              <w:t>1</w:t>
            </w:r>
          </w:p>
        </w:tc>
      </w:tr>
    </w:tbl>
    <w:p/>
    <w:p>
      <w:r>
        <w:t>The complete inventory follows. A shortlist of the largest movers hides the variables that did NOT move, which is half of what a reader needs in order to believe the ones that did.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rPr>
          <w:tblHeader w:val="true"/>
        </w:trPr>
        <w:tc>
          <w:tcPr>
            <w:tcW w:type="dxa" w:w="2304"/>
          </w:tcPr>
          <w:p>
            <w:r>
              <w:rPr>
                <w:b/>
                <w:sz w:val="16"/>
              </w:rPr>
              <w:t>Input</w:t>
            </w:r>
          </w:p>
        </w:tc>
        <w:tc>
          <w:tcPr>
            <w:tcW w:type="dxa" w:w="1872"/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1152"/>
          </w:tcPr>
          <w:p>
            <w:r>
              <w:rPr>
                <w:b/>
                <w:sz w:val="16"/>
              </w:rPr>
              <w:t>Direction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CSI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Band</w:t>
            </w:r>
          </w:p>
        </w:tc>
        <w:tc>
          <w:tcPr>
            <w:tcW w:type="dxa" w:w="1008"/>
          </w:tcPr>
          <w:p>
            <w:r>
              <w:rPr>
                <w:b/>
                <w:sz w:val="16"/>
              </w:rPr>
              <w:t>Missing now</w:t>
            </w:r>
          </w:p>
        </w:tc>
        <w:tc>
          <w:tcPr>
            <w:tcW w:type="dxa" w:w="1152"/>
          </w:tcPr>
          <w:p>
            <w:r>
              <w:rPr>
                <w:b/>
                <w:sz w:val="16"/>
              </w:rPr>
              <w:t>Mean points change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Assessment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Verified monthly income at application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RETAIL_APP_CREDIT_CARD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safer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+0.05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Debt burden ratio at application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RETAIL_APP_CREDIT_CARD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0.0014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-0.52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Disposable income at application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RETAIL_APP_CREDIT_CARD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safer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-0.10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Employment tenure at application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RETAIL_APP_CREDIT_CARD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safer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0.0042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+0.43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Relationship tenure at application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RETAIL_APP_CREDIT_CARD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safer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0.0020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+0.15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Salary transfer at application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RETAIL_APP_CREDIT_CARD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Bureau score at origination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RETAIL_APP_CREDIT_CARD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safer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9.86%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+0.12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Bureau enquiries in 3m at application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RETAIL_APP_CREDIT_CARD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+0.01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External delinquency at application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RETAIL_APP_CREDIT_CARD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External active obligations at application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RETAIL_APP_CREDIT_CARD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Requested amount to monthly income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RETAIL_APP_CREDIT_CARD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+0.03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Verified monthly income at application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RETAIL_APP_PERSONAL_LOAN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safer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+0.05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Debt burden ratio at application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RETAIL_APP_PERSONAL_LOAN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0.0019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-0.66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Disposable income at application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RETAIL_APP_PERSONAL_LOAN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safer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0.0011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-0.17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Employment tenure at application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RETAIL_APP_PERSONAL_LOAN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safer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0.0093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+0.43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Relationship tenure at application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RETAIL_APP_PERSONAL_LOAN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safer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0.0043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+0.13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Salary transfer at application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RETAIL_APP_PERSONAL_LOAN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+0.03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Bureau score at origination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RETAIL_APP_PERSONAL_LOAN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safer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0.0011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1.13%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+0.10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Bureau enquiries in 3m at application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RETAIL_APP_PERSONAL_LOAN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+0.03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External delinquency at application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RETAIL_APP_PERSONAL_LOAN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-0.02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External active obligations at application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RETAIL_APP_PERSONAL_LOAN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Requested amount to monthly income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RETAIL_APP_PERSONAL_LOAN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+0.05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Instalment to monthly income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RETAIL_APP_PERSONAL_LOAN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+0.05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Original tenor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RETAIL_APP_PERSONAL_LOAN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Income stability before application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RETAIL_APP_PERSONAL_LOAN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safer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0.0020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2.28%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+0.03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Verified monthly income at application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RETAIL_APP_AUTO_LOAN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safer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+0.04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Debt burden ratio at application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RETAIL_APP_AUTO_LOAN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-0.43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Disposable income at application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RETAIL_APP_AUTO_LOAN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safer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-0.11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Employment tenure at application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RETAIL_APP_AUTO_LOAN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safer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+0.47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Relationship tenure at application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RETAIL_APP_AUTO_LOAN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safer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0.0045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+0.14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Salary transfer at application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RETAIL_APP_AUTO_LOAN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-0.02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Bureau score at origination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RETAIL_APP_AUTO_LOAN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safer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0.0014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1.63%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+0.01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Bureau enquiries in 3m at application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RETAIL_APP_AUTO_LOAN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-0.01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External delinquency at application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RETAIL_APP_AUTO_LOAN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-0.01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External active obligations at application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RETAIL_APP_AUTO_LOAN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Requested amount to monthly income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RETAIL_APP_AUTO_LOAN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+0.03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Instalment to monthly income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RETAIL_APP_AUTO_LOAN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+0.11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Original tenor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RETAIL_APP_AUTO_LOAN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-0.01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Loan to value at origination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RETAIL_APP_AUTO_LOAN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Balloon share of finance amount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RETAIL_APP_AUTO_LOAN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Verified monthly income at application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RETAIL_APP_HOME_LOAN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safer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+0.08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Debt burden ratio at application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RETAIL_APP_HOME_LOAN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-0.23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Disposable income at application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RETAIL_APP_HOME_LOAN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safer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-0.04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Employment tenure at application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RETAIL_APP_HOME_LOAN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safer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0.0044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+0.43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Relationship tenure at application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RETAIL_APP_HOME_LOAN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safer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0.0021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+0.14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Salary transfer at application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RETAIL_APP_HOME_LOAN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-0.13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Bureau score at origination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RETAIL_APP_HOME_LOAN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safer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4.95%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-0.04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Bureau enquiries in 3m at application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RETAIL_APP_HOME_LOAN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-0.03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External delinquency at application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RETAIL_APP_HOME_LOAN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-0.01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External active obligations at application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RETAIL_APP_HOME_LOAN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-0.01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Requested amount to monthly income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RETAIL_APP_HOME_LOAN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Instalment to monthly income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RETAIL_APP_HOME_LOAN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+0.05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Original tenor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RETAIL_APP_HOME_LOAN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Loan to value at origination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RETAIL_APP_HOME_LOAN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+0.03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Income stability before application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RETAIL_APP_HOME_LOAN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safer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11.99%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+0.02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Days past due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RETAIL_BEH_CREDIT_CARD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0.0039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-0.71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Worst DPD in 6 months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RETAIL_BEH_CREDIT_CARD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-0.12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Missed payments in 6 months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RETAIL_BEH_CREDIT_CARD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-0.18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Payment to due ratio over 3 months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RETAIL_BEH_CREDIT_CARD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safer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0.0027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0.06%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-0.45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Salary change over 3 months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RETAIL_BEH_CREDIT_CARD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safer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0.0060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0.08%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+0.33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Missed salary cycles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RETAIL_BEH_CREDIT_CARD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0.0027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+0.28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Income volatility over 6 months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RETAIL_BEH_CREDIT_CARD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-0.05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Personal cash buffer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RETAIL_BEH_CREDIT_CARD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safer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0.0023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-0.26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Bureau score change over 3 months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RETAIL_BEH_CREDIT_CARD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safer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0.0355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6.04%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-0.49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deteriorated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External delinquency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RETAIL_BEH_CREDIT_CARD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-0.04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New external obligations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RETAIL_BEH_CREDIT_CARD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6.04%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-0.02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Bureau enquiries in 3 months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RETAIL_BEH_CREDIT_CARD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-0.06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Broken promises to pay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RETAIL_BEH_CREDIT_CARD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-0.07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Failed direct debits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RETAIL_BEH_CREDIT_CARD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0.0016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-0.13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Months on book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RETAIL_BEH_CREDIT_CARD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safer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0.0014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-0.05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Card utilisation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RETAIL_BEH_CREDIT_CARD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0.0029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-0.23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Utilisation change over 3 months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RETAIL_BEH_CREDIT_CARD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0.0359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6.04%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-0.56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deteriorated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Minimum-payment-only months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RETAIL_BEH_CREDIT_CARD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0.0017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-0.19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Days over limit in 3 months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RETAIL_BEH_CREDIT_CARD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Cash advance share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RETAIL_BEH_CREDIT_CARD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0.0035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-0.15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Days past due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RETAIL_BEH_PERSONAL_LOAN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0.0012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-0.21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Worst DPD in 6 months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RETAIL_BEH_PERSONAL_LOAN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-0.03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Missed payments in 6 months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RETAIL_BEH_PERSONAL_LOAN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-0.06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Payment to due ratio over 3 months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RETAIL_BEH_PERSONAL_LOAN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safer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-0.19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Salary change over 3 months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RETAIL_BEH_PERSONAL_LOAN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safer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0.0073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0.08%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+0.33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Missed salary cycles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RETAIL_BEH_PERSONAL_LOAN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0.0037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+0.24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Income volatility over 6 months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RETAIL_BEH_PERSONAL_LOAN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-0.02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Personal cash buffer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RETAIL_BEH_PERSONAL_LOAN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safer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0.0026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-0.26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Bureau score change over 3 months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RETAIL_BEH_PERSONAL_LOAN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safer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0.0211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10.53%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-0.32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deteriorated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External delinquency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RETAIL_BEH_PERSONAL_LOAN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+0.04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New external obligations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RETAIL_BEH_PERSONAL_LOAN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0.0013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10.53%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-0.02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Bureau enquiries in 3 months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RETAIL_BEH_PERSONAL_LOAN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-0.03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Broken promises to pay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RETAIL_BEH_PERSONAL_LOAN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-0.02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Failed direct debits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RETAIL_BEH_PERSONAL_LOAN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-0.04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Months on book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RETAIL_BEH_PERSONAL_LOAN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safer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-0.07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Days past due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RETAIL_BEH_AUTO_LOAN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-0.07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Worst DPD in 6 months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RETAIL_BEH_AUTO_LOAN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Missed payments in 6 months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RETAIL_BEH_AUTO_LOAN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-0.04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Payment to due ratio over 3 months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RETAIL_BEH_AUTO_LOAN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safer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-0.07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Salary change over 3 months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RETAIL_BEH_AUTO_LOAN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safer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0.0093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0.14%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+0.34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Missed salary cycles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RETAIL_BEH_AUTO_LOAN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0.0020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+0.20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Income volatility over 6 months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RETAIL_BEH_AUTO_LOAN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-0.05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Personal cash buffer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RETAIL_BEH_AUTO_LOAN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safer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0.0028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-0.30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Bureau score change over 3 months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RETAIL_BEH_AUTO_LOAN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safer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0.0323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9.50%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-0.34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deteriorated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External delinquency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RETAIL_BEH_AUTO_LOAN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-0.01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New external obligations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RETAIL_BEH_AUTO_LOAN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9.50%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Bureau enquiries in 3 months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RETAIL_BEH_AUTO_LOAN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0.0013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-0.05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Broken promises to pay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RETAIL_BEH_AUTO_LOAN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+0.01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Failed direct debits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RETAIL_BEH_AUTO_LOAN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-0.03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Months on book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RETAIL_BEH_AUTO_LOAN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safer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0.0017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-0.03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Months to balloon payment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RETAIL_BEH_AUTO_LOAN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safer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0.0013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66.15%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+0.04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data quality affected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Current loan to value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RETAIL_BEH_AUTO_LOAN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0.0115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-0.63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Days past due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RETAIL_BEH_HOME_LOAN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+0.09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Worst DPD in 6 months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RETAIL_BEH_HOME_LOAN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0.0018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+0.01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Missed payments in 6 months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RETAIL_BEH_HOME_LOAN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-0.03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Payment to due ratio over 3 months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RETAIL_BEH_HOME_LOAN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safer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-0.05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Salary change over 3 months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RETAIL_BEH_HOME_LOAN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safer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0.0058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0.05%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+0.34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Missed salary cycles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RETAIL_BEH_HOME_LOAN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0.0034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+0.26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Income volatility over 6 months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RETAIL_BEH_HOME_LOAN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+0.03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Personal cash buffer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RETAIL_BEH_HOME_LOAN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safer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0.0014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-0.20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Bureau score change over 3 months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RETAIL_BEH_HOME_LOAN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safer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0.0323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7.23%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-0.37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deteriorated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External delinquency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RETAIL_BEH_HOME_LOAN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+0.01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New external obligations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RETAIL_BEH_HOME_LOAN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7.23%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-0.05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Bureau enquiries in 3 months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RETAIL_BEH_HOME_LOAN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0.0033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-0.11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Broken promises to pay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RETAIL_BEH_HOME_LOAN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Failed direct debits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RETAIL_BEH_HOME_LOAN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+0.01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Months on book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RETAIL_BEH_HOME_LOAN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safer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0.0012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-0.05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Current loan to value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RETAIL_BEH_HOME_LOAN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+0.06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</w:tbl>
    <w:p>
      <w:r>
        <w:rPr>
          <w:i/>
          <w:sz w:val="16"/>
        </w:rPr>
        <w:t>Table 1. All 123 inputs of the active scorecards in scope.</w:t>
      </w:r>
    </w:p>
    <w:p/>
    <w:p>
      <w:pPr>
        <w:pStyle w:val="Heading1"/>
      </w:pPr>
      <w:r>
        <w:t>4. The largest movements</w:t>
      </w:r>
    </w:p>
    <w:p>
      <w:pPr>
        <w:pStyle w:val="Heading2"/>
      </w:pPr>
      <w:r>
        <w:t>4.1 Deteriorated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</w:trPr>
        <w:tc>
          <w:tcPr>
            <w:tcW w:type="dxa" w:w="2448"/>
          </w:tcPr>
          <w:p>
            <w:r>
              <w:rPr>
                <w:b/>
                <w:sz w:val="16"/>
              </w:rPr>
              <w:t>Input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CSI</w:t>
            </w:r>
          </w:p>
        </w:tc>
        <w:tc>
          <w:tcPr>
            <w:tcW w:type="dxa" w:w="1152"/>
          </w:tcPr>
          <w:p>
            <w:r>
              <w:rPr>
                <w:b/>
                <w:sz w:val="16"/>
              </w:rPr>
              <w:t>Points change</w:t>
            </w:r>
          </w:p>
        </w:tc>
        <w:tc>
          <w:tcPr>
            <w:tcW w:type="dxa" w:w="1296"/>
          </w:tcPr>
          <w:p>
            <w:r>
              <w:rPr>
                <w:b/>
                <w:sz w:val="16"/>
              </w:rPr>
              <w:t>Facilities affected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Exposure affected (SAR)</w:t>
            </w:r>
          </w:p>
        </w:tc>
        <w:tc>
          <w:tcPr>
            <w:tcW w:type="dxa" w:w="3168"/>
          </w:tcPr>
          <w:p>
            <w:r>
              <w:rPr>
                <w:b/>
                <w:sz w:val="16"/>
              </w:rPr>
              <w:t>Why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Utilisation change over 3 months — Credit Card behavioural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0.0359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-0.56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13,443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113,689,783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CSI 0.0359, and the mean contribution this input makes to the score fell by 0.56 points on customers present in both periods (-0.30 points matched).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Bureau score change over 3 months — Credit Card behavioural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0.0355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-0.49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10,644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91,472,084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CSI 0.0355, and the mean contribution this input makes to the score fell by 0.49 points on customers present in both periods (-0.13 points matched).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Bureau score change over 3 months — Home Finance behavioural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0.0323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-0.37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3,352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2,077,003,531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CSI 0.0323, and the mean contribution this input makes to the score fell by 0.37 points on customers present in both periods (+0.06 points matched).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Bureau score change over 3 months — Auto Finance behavioural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0.0323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-0.34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5,465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371,105,457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CSI 0.0323, and the mean contribution this input makes to the score fell by 0.34 points on customers present in both periods (+0.28 points matched).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Bureau score change over 3 months — Personal Finance behavioural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0.0211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-0.32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12,088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710,654,592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CSI 0.0211, and the mean contribution this input makes to the score fell by 0.32 points on customers present in both periods (+0.37 points matched).</w:t>
            </w:r>
          </w:p>
        </w:tc>
      </w:tr>
    </w:tbl>
    <w:p>
      <w:r>
        <w:rPr>
          <w:i/>
          <w:sz w:val="16"/>
        </w:rPr>
        <w:t>Table 2. Ranked by the fall in the points this input contributes.</w:t>
      </w:r>
    </w:p>
    <w:p/>
    <w:p>
      <w:pPr>
        <w:pStyle w:val="Heading2"/>
      </w:pPr>
      <w:r>
        <w:t>4.2 Improved</w:t>
      </w:r>
    </w:p>
    <w:p>
      <w:r>
        <w:t>No rows were produced for this table.</w:t>
      </w:r>
    </w:p>
    <w:p>
      <w:pPr>
        <w:pStyle w:val="Heading2"/>
      </w:pPr>
      <w:r>
        <w:t>4.3 Grouped drivers</w:t>
      </w:r>
    </w:p>
    <w:p>
      <w:r>
        <w:t>Inputs that read one underlying change are grouped. Income, debt burden and disposable income all derive from the same source field, and adding three one-variable shocks would count one change three times.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2016"/>
          </w:tcPr>
          <w:p>
            <w:r>
              <w:rPr>
                <w:b/>
                <w:sz w:val="16"/>
              </w:rPr>
              <w:t>Group</w:t>
            </w:r>
          </w:p>
        </w:tc>
        <w:tc>
          <w:tcPr>
            <w:tcW w:type="dxa" w:w="2304"/>
          </w:tcPr>
          <w:p>
            <w:r>
              <w:rPr>
                <w:b/>
                <w:sz w:val="16"/>
              </w:rPr>
              <w:t>Deteriorated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Improved</w:t>
            </w:r>
          </w:p>
        </w:tc>
        <w:tc>
          <w:tcPr>
            <w:tcW w:type="dxa" w:w="1152"/>
          </w:tcPr>
          <w:p>
            <w:r>
              <w:rPr>
                <w:b/>
                <w:sz w:val="16"/>
              </w:rPr>
              <w:t>Points change</w:t>
            </w:r>
          </w:p>
        </w:tc>
        <w:tc>
          <w:tcPr>
            <w:tcW w:type="dxa" w:w="1296"/>
          </w:tcPr>
          <w:p>
            <w:r>
              <w:rPr>
                <w:b/>
                <w:sz w:val="16"/>
              </w:rPr>
              <w:t>Facilities affected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Bureau and external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bureau_change, bureau_change, bureau_change, bureau_change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-1.51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31,549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Other model inputs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util_change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-0.56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13,443</w:t>
            </w:r>
          </w:p>
        </w:tc>
      </w:tr>
    </w:tbl>
    <w:p>
      <w:r>
        <w:rPr>
          <w:i/>
          <w:sz w:val="16"/>
        </w:rPr>
        <w:t>Table 3. Grouped by the source each input derives from.</w:t>
      </w:r>
    </w:p>
    <w:p/>
    <w:p>
      <w:pPr>
        <w:pStyle w:val="Heading1"/>
      </w:pPr>
      <w:r>
        <w:t>5. Score and band migration</w:t>
      </w:r>
    </w:p>
    <w:p>
      <w:r>
        <w:t>E is the worst band and A+ the best; the scorecards run higher-is-safer.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3456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5760"/>
          </w:tcPr>
          <w:p>
            <w:r>
              <w:rPr>
                <w:b/>
                <w:sz w:val="16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Scored in both periods</w:t>
            </w:r>
          </w:p>
        </w:tc>
        <w:tc>
          <w:tcPr>
            <w:tcW w:type="dxa" w:w="5760"/>
          </w:tcPr>
          <w:p>
            <w:r>
              <w:rPr>
                <w:sz w:val="16"/>
              </w:rPr>
              <w:t>53,154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Moved to a worse band</w:t>
            </w:r>
          </w:p>
        </w:tc>
        <w:tc>
          <w:tcPr>
            <w:tcW w:type="dxa" w:w="5760"/>
          </w:tcPr>
          <w:p>
            <w:r>
              <w:rPr>
                <w:sz w:val="16"/>
              </w:rPr>
              <w:t>8,195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Moved to a better band</w:t>
            </w:r>
          </w:p>
        </w:tc>
        <w:tc>
          <w:tcPr>
            <w:tcW w:type="dxa" w:w="5760"/>
          </w:tcPr>
          <w:p>
            <w:r>
              <w:rPr>
                <w:sz w:val="16"/>
              </w:rPr>
              <w:t>9,219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Unchanged</w:t>
            </w:r>
          </w:p>
        </w:tc>
        <w:tc>
          <w:tcPr>
            <w:tcW w:type="dxa" w:w="5760"/>
          </w:tcPr>
          <w:p>
            <w:r>
              <w:rPr>
                <w:sz w:val="16"/>
              </w:rPr>
              <w:t>35,740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tblHeader w:val="true"/>
        </w:trPr>
        <w:tc>
          <w:tcPr>
            <w:tcW w:type="dxa" w:w="1008"/>
          </w:tcPr>
          <w:p>
            <w:r>
              <w:rPr>
                <w:b/>
                <w:sz w:val="16"/>
              </w:rPr>
              <w:t>From</w:t>
            </w:r>
          </w:p>
        </w:tc>
        <w:tc>
          <w:tcPr>
            <w:tcW w:type="dxa" w:w="1008"/>
          </w:tcPr>
          <w:p>
            <w:r>
              <w:rPr>
                <w:b/>
                <w:sz w:val="16"/>
              </w:rPr>
              <w:t>To</w:t>
            </w:r>
          </w:p>
        </w:tc>
        <w:tc>
          <w:tcPr>
            <w:tcW w:type="dxa" w:w="1296"/>
          </w:tcPr>
          <w:p>
            <w:r>
              <w:rPr>
                <w:b/>
                <w:sz w:val="16"/>
              </w:rPr>
              <w:t>Facilities</w:t>
            </w:r>
          </w:p>
        </w:tc>
        <w:tc>
          <w:tcPr>
            <w:tcW w:type="dxa" w:w="1296"/>
          </w:tcPr>
          <w:p>
            <w:r>
              <w:rPr>
                <w:b/>
                <w:sz w:val="16"/>
              </w:rPr>
              <w:t>Customers</w:t>
            </w:r>
          </w:p>
        </w:tc>
        <w:tc>
          <w:tcPr>
            <w:tcW w:type="dxa" w:w="1872"/>
          </w:tcPr>
          <w:p>
            <w:r>
              <w:rPr>
                <w:b/>
                <w:sz w:val="16"/>
              </w:rPr>
              <w:t>Exposure (SAR)</w:t>
            </w:r>
          </w:p>
        </w:tc>
        <w:tc>
          <w:tcPr>
            <w:tcW w:type="dxa" w:w="1296"/>
          </w:tcPr>
          <w:p>
            <w:r>
              <w:rPr>
                <w:b/>
                <w:sz w:val="16"/>
              </w:rPr>
              <w:t>Share of row</w:t>
            </w:r>
          </w:p>
        </w:tc>
        <w:tc>
          <w:tcPr>
            <w:tcW w:type="dxa" w:w="1296"/>
          </w:tcPr>
          <w:p>
            <w:r>
              <w:rPr>
                <w:b/>
                <w:sz w:val="16"/>
              </w:rPr>
              <w:t>Direction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496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478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22,371,903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36.80%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unchanged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290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289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11,071,637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21.51%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better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347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343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16,936,169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25.74%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better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203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203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12,169,169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15.06%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better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2,775,957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0.89%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better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170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170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5,802,557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18.56%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worse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109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109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3,524,743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11.90%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unchanged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252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249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8,462,978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27.51%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better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327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325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13,891,934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35.70%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better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57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5,313,321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6.22%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better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A+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17,851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0.11%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better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222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222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7,546,821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8.17%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worse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172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168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6,676,162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6.33%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worse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421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413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13,205,543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15.49%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unchanged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1,034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1,008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38,785,760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38.06%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better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858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813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46,713,299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31.58%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better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A+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2,763,908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0.37%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better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261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260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9,441,083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3.78%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worse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188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188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5,253,923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2.72%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worse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509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502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17,967,278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7.36%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worse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2,047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1,975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75,203,133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29.61%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unchanged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3,735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3,453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162,980,239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54.03%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better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A+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173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168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37,995,880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2.50%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better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386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384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21,105,065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1.22%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worse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256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255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9,709,034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0.81%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worse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903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872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40,568,470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2.85%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worse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3,011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2,814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117,492,723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9.50%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worse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25,203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21,049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1,141,060,083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79.56%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unchanged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A+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1,920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1,877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284,396,524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6.06%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better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A+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5,861,423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0.22%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worse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A+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7,363,439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0.25%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worse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A+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43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43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9,589,721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0.45%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worse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A+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199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198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30,204,799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2.08%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worse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A+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1,830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1,768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208,367,760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19.10%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worse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A+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A+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7,464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7,047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3,041,924,765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77.90%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unchanged</w:t>
            </w:r>
          </w:p>
        </w:tc>
      </w:tr>
    </w:tbl>
    <w:p>
      <w:r>
        <w:rPr>
          <w:i/>
          <w:sz w:val="16"/>
        </w:rPr>
        <w:t>Table 4. Unchanged and improving populations are included.</w:t>
      </w:r>
    </w:p>
    <w:p/>
    <w:p>
      <w:pPr>
        <w:pStyle w:val="Heading1"/>
      </w:pPr>
      <w:r>
        <w:t>6. PD and stage propagation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3456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5760"/>
          </w:tcPr>
          <w:p>
            <w:r>
              <w:rPr>
                <w:b/>
                <w:sz w:val="16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Metric</w:t>
            </w:r>
          </w:p>
        </w:tc>
        <w:tc>
          <w:tcPr>
            <w:tcW w:type="dxa" w:w="5760"/>
          </w:tcPr>
          <w:p>
            <w:r>
              <w:rPr>
                <w:sz w:val="16"/>
              </w:rPr>
              <w:t>ret.pd.mean_12m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Mean PD before</w:t>
            </w:r>
          </w:p>
        </w:tc>
        <w:tc>
          <w:tcPr>
            <w:tcW w:type="dxa" w:w="5760"/>
          </w:tcPr>
          <w:p>
            <w:r>
              <w:rPr>
                <w:sz w:val="16"/>
              </w:rPr>
              <w:t>1.7276%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Mean PD after</w:t>
            </w:r>
          </w:p>
        </w:tc>
        <w:tc>
          <w:tcPr>
            <w:tcW w:type="dxa" w:w="5760"/>
          </w:tcPr>
          <w:p>
            <w:r>
              <w:rPr>
                <w:sz w:val="16"/>
              </w:rPr>
              <w:t>1.8670%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Change</w:t>
            </w:r>
          </w:p>
        </w:tc>
        <w:tc>
          <w:tcPr>
            <w:tcW w:type="dxa" w:w="5760"/>
          </w:tcPr>
          <w:p>
            <w:r>
              <w:rPr>
                <w:sz w:val="16"/>
              </w:rPr>
              <w:t>0.1394%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Basis</w:t>
            </w:r>
          </w:p>
        </w:tc>
        <w:tc>
          <w:tcPr>
            <w:tcW w:type="dxa" w:w="5760"/>
          </w:tcPr>
          <w:p>
            <w:r>
              <w:rPr>
                <w:sz w:val="16"/>
              </w:rPr>
              <w:t>behavioural scorecards, model version held fixed, matched facilities only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440"/>
          </w:tcPr>
          <w:p>
            <w:r>
              <w:rPr>
                <w:b/>
                <w:sz w:val="16"/>
              </w:rPr>
              <w:t>From stage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To stage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Facilities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Exposure (SAR)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Direction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45,654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5,002,661,975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held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1,831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113,832,520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worse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8,567,278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worse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1,098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60,382,856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better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3,497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200,651,264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held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330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18,855,294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worse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103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8,642,271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better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267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16,013,791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better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263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14,907,797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held</w:t>
            </w:r>
          </w:p>
        </w:tc>
      </w:tr>
    </w:tbl>
    <w:p>
      <w:r>
        <w:rPr>
          <w:i/>
          <w:sz w:val="16"/>
        </w:rPr>
        <w:t>Table 5. Staging is re-evaluated by the governed policy. A stage change is reported here and its effect on the allowance appears once, in the ECL bridge's stage driver — never again under PD.</w:t>
      </w:r>
    </w:p>
    <w:p/>
    <w:p>
      <w:pPr>
        <w:pStyle w:val="Heading1"/>
      </w:pPr>
      <w:r>
        <w:t>7. The loss allowance</w:t>
      </w:r>
    </w:p>
    <w:p>
      <w:r>
        <w:t>Sequential replacement: opening inputs are replaced one driver at a time in the published order, and each contribution is the change that replacement caused. The attribution is order-dependent — a different order moves amounts between drivers while the total stays the same — which is why the order is published with the result. This is not a Shapley decomposition and is not presented as one.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744"/>
          </w:tcPr>
          <w:p>
            <w:r>
              <w:rPr>
                <w:b/>
                <w:sz w:val="16"/>
              </w:rPr>
              <w:t>Driver</w:t>
            </w:r>
          </w:p>
        </w:tc>
        <w:tc>
          <w:tcPr>
            <w:tcW w:type="dxa" w:w="2304"/>
          </w:tcPr>
          <w:p>
            <w:r>
              <w:rPr>
                <w:b/>
                <w:sz w:val="16"/>
              </w:rPr>
              <w:t>Amount (SAR)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Kind</w:t>
            </w:r>
          </w:p>
        </w:tc>
      </w:tr>
      <w:tr>
        <w:tc>
          <w:tcPr>
            <w:tcW w:type="dxa" w:w="3744"/>
          </w:tcPr>
          <w:p>
            <w:r>
              <w:rPr>
                <w:sz w:val="16"/>
              </w:rPr>
              <w:t>New originations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population</w:t>
            </w:r>
          </w:p>
        </w:tc>
      </w:tr>
      <w:tr>
        <w:tc>
          <w:tcPr>
            <w:tcW w:type="dxa" w:w="3744"/>
          </w:tcPr>
          <w:p>
            <w:r>
              <w:rPr>
                <w:sz w:val="16"/>
              </w:rPr>
              <w:t>Exits and closures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-0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population</w:t>
            </w:r>
          </w:p>
        </w:tc>
      </w:tr>
      <w:tr>
        <w:tc>
          <w:tcPr>
            <w:tcW w:type="dxa" w:w="3744"/>
          </w:tcPr>
          <w:p>
            <w:r>
              <w:rPr>
                <w:sz w:val="16"/>
              </w:rPr>
              <w:t>Stage and horizon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403,001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driver</w:t>
            </w:r>
          </w:p>
        </w:tc>
      </w:tr>
      <w:tr>
        <w:tc>
          <w:tcPr>
            <w:tcW w:type="dxa" w:w="3744"/>
          </w:tcPr>
          <w:p>
            <w:r>
              <w:rPr>
                <w:sz w:val="16"/>
              </w:rPr>
              <w:t>Probability of default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1,704,825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driver</w:t>
            </w:r>
          </w:p>
        </w:tc>
      </w:tr>
      <w:tr>
        <w:tc>
          <w:tcPr>
            <w:tcW w:type="dxa" w:w="3744"/>
          </w:tcPr>
          <w:p>
            <w:r>
              <w:rPr>
                <w:sz w:val="16"/>
              </w:rPr>
              <w:t>Loss given default and recovery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248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driver</w:t>
            </w:r>
          </w:p>
        </w:tc>
      </w:tr>
      <w:tr>
        <w:tc>
          <w:tcPr>
            <w:tcW w:type="dxa" w:w="3744"/>
          </w:tcPr>
          <w:p>
            <w:r>
              <w:rPr>
                <w:sz w:val="16"/>
              </w:rPr>
              <w:t>Exposure and amortisation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-748,391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driver</w:t>
            </w:r>
          </w:p>
        </w:tc>
      </w:tr>
      <w:tr>
        <w:tc>
          <w:tcPr>
            <w:tcW w:type="dxa" w:w="3744"/>
          </w:tcPr>
          <w:p>
            <w:r>
              <w:rPr>
                <w:sz w:val="16"/>
              </w:rPr>
              <w:t>Scenario weights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driver</w:t>
            </w:r>
          </w:p>
        </w:tc>
      </w:tr>
      <w:tr>
        <w:tc>
          <w:tcPr>
            <w:tcW w:type="dxa" w:w="3744"/>
          </w:tcPr>
          <w:p>
            <w:r>
              <w:rPr>
                <w:sz w:val="16"/>
              </w:rPr>
              <w:t>Management overlay and rounding to the published allowance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-1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anchor</w:t>
            </w:r>
          </w:p>
        </w:tc>
      </w:tr>
    </w:tbl>
    <w:p>
      <w:r>
        <w:rPr>
          <w:i/>
          <w:sz w:val="16"/>
        </w:rPr>
        <w:t>Table 6. Opening SAR 39,287,482 to closing SAR 40,647,164 on the matched population.</w:t>
      </w:r>
    </w:p>
    <w:p/>
    <w:p>
      <w:pPr>
        <w:pStyle w:val="Heading1"/>
      </w:pPr>
      <w:r>
        <w:t>8. What this is, and what it is not</w:t>
      </w:r>
    </w:p>
    <w:p>
      <w:pPr>
        <w:pStyle w:val="ListBullet"/>
      </w:pPr>
      <w:r>
        <w:t>Model-based attribution, not proven real-world causation. The numbers are what the governed pipeline produces when matched observations are evaluated at the two periods; they are not evidence that a trait caused a loss.</w:t>
      </w:r>
    </w:p>
    <w:p>
      <w:pPr>
        <w:pStyle w:val="ListBullet"/>
      </w:pPr>
      <w:r>
        <w:t>Application-scorecard inputs are recorded at origination and cannot deteriorate. Their distributions move when the population moves, and are classified as historical rather than as deterioration.</w:t>
      </w:r>
    </w:p>
    <w:p>
      <w:pPr>
        <w:pStyle w:val="ListBullet"/>
      </w:pPr>
      <w:r>
        <w:t>Correlated inputs are grouped by source. Adding one-variable shocks together would count one underlying change several times and is not done.</w:t>
      </w:r>
    </w:p>
    <w:p>
      <w:pPr>
        <w:pStyle w:val="ListBullet"/>
      </w:pPr>
      <w:r>
        <w:t>Synthetic demonstration data. Not ANB customer history and not an approved model.</w:t>
      </w: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sz w:val="16"/>
      </w:rPr>
      <w:t xml:space="preserve">Page </w:t>
    </w:r>
    <w:r>
      <w:fldChar w:fldCharType="begin"/>
      <w:instrText xml:space="preserve"> PAGE </w:instrText>
      <w:fldChar w:fldCharType="end"/>
    </w:r>
    <w:r>
      <w:rPr>
        <w:sz w:val="16"/>
      </w:rPr>
      <w:t xml:space="preserve"> of </w:t>
    </w:r>
    <w:r>
      <w:fldChar w:fldCharType="begin"/>
      <w:instrText xml:space="preserve"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6B6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