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864"/>
          <w:sz w:val="52"/>
        </w:rPr>
        <w:t>Credit Card — delinquency and ECL decomposition</w:t>
      </w:r>
    </w:p>
    <w:p>
      <w:pPr>
        <w:jc w:val="center"/>
      </w:pPr>
      <w:r>
        <w:rPr>
          <w:color w:val="5B636B"/>
          <w:sz w:val="26"/>
        </w:rPr>
        <w:t>2026-07 to 2026-08</w:t>
      </w:r>
    </w:p>
    <w:p>
      <w:pPr>
        <w:jc w:val="center"/>
      </w:pPr>
      <w:r>
        <w:rPr>
          <w:i/>
          <w:sz w:val="22"/>
        </w:rPr>
        <w:t>Investigation report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80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6336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Report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Investigation report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Credit Card — delinquency and ECL decomposition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Credit Card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Reporting month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2026-08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Population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17,645 customers across 19,788 facilities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Prepared by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retail.demo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Prepared at (UTC)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2026-09-15T08:14:54+00:00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Current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 version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retail-report-service-1.0.0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Analysis id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retail_delinquency_decomposition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Analysis version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1.0.0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Method version</w:t>
            </w:r>
          </w:p>
        </w:tc>
        <w:tc>
          <w:tcPr>
            <w:tcW w:type="dxa" w:w="6336"/>
          </w:tcPr>
          <w:p>
            <w:r>
              <w:rPr>
                <w:sz w:val="16"/>
              </w:rPr>
              <w:t>retail-delinquency-decomposition-1.0.0</w:t>
            </w:r>
          </w:p>
        </w:tc>
      </w:tr>
    </w:tbl>
    <w:p/>
    <w:p>
      <w:pPr>
        <w:pStyle w:val="Heading2"/>
      </w:pPr>
      <w:r>
        <w:t>Provenance and limitations</w:t>
      </w:r>
    </w:p>
    <w:p>
      <w:r>
        <w:t>Synthetic Saudi retail demonstration data and a synthetic demonstration model. This document is not ANB customer data, not an ANB-approved model, not an ANB policy, not a SAMA requirement, and has not been independently validated. It is a demonstration of a workflow. No credit decision should rest on it.</w:t>
      </w:r>
    </w:p>
    <w:p>
      <w:pPr>
        <w:pStyle w:val="ListBullet"/>
      </w:pPr>
      <w:r>
        <w:t>Observed state changes, on facilities matched across the two months. Entrants and exits are reported separately and are not attributed to any migration.</w:t>
      </w:r>
    </w:p>
    <w:p>
      <w:pPr>
        <w:pStyle w:val="ListBullet"/>
      </w:pPr>
      <w:r>
        <w:t>The ECL bridge is a sequential revaluation in a published order. It is order-dependent: a different order moves amounts between drivers while the total is unchanged. It is not a Shapley decomposition.</w:t>
      </w:r>
    </w:p>
    <w:p>
      <w:pPr>
        <w:pStyle w:val="ListBullet"/>
      </w:pPr>
      <w:r>
        <w:t>Synthetic demonstration data. Not ANB customer history and not an approved model.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"1-2" \h \z \u </w:instrText>
        <w:fldChar w:fldCharType="end"/>
      </w:r>
    </w:p>
    <w:p>
      <w:r>
        <w:br w:type="page"/>
      </w:r>
    </w:p>
    <w:p>
      <w:pPr>
        <w:pStyle w:val="Heading1"/>
      </w:pPr>
      <w:r>
        <w:t>1. The attention issue</w:t>
      </w:r>
    </w:p>
    <w:p>
      <w:r>
        <w:t>Why the 30+ DPD rate for Credit Card moved between 2026-07 and 2026-08. Answered on the facilities themselves — where they moved, what entered and left — and then, separately, what that did to the loss allowance.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76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Metric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30+ DPD rate, exposure-weighted (ret.dpd30.exposure)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This month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7.51%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Prior month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6.91%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Change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+0.6006 percentage points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Relative change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8.69%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By account count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4.42% to 4.84%</w:t>
            </w:r>
          </w:p>
        </w:tc>
      </w:tr>
    </w:tbl>
    <w:p/>
    <w:p>
      <w:r>
        <w:t>The two weightings answer different questions and are stated separately rather than being reconciled to one number. A book of many small late accounts moves the count rate and not the exposure rate.</w:t>
      </w:r>
    </w:p>
    <w:p>
      <w:pPr>
        <w:pStyle w:val="Heading1"/>
      </w:pPr>
      <w:r>
        <w:t>2. Findings</w:t>
      </w:r>
    </w:p>
    <w:p>
      <w:pPr>
        <w:pStyle w:val="Heading3"/>
      </w:pPr>
      <w:r>
        <w:t>What moved</w:t>
      </w:r>
    </w:p>
    <w:p>
      <w:r>
        <w:t>Credit Card 30+ DPD rose from 6.9077% to 7.5082% of exposure, +0.6006 percentage points. By account count the same book moved from 4.4159% to 4.8413%.</w:t>
      </w:r>
    </w:p>
    <w:p>
      <w:pPr>
        <w:pStyle w:val="Heading3"/>
      </w:pPr>
      <w:r>
        <w:t>Why</w:t>
      </w:r>
    </w:p>
    <w:p>
      <w:r>
        <w:t>479 facilities that were not 30+ last month are now, carrying SAR 5,815,873. That is +0.8676 pp on its own; the book growing took -0.267 pp back off.</w:t>
      </w:r>
    </w:p>
    <w:p>
      <w:pPr>
        <w:pStyle w:val="Heading3"/>
      </w:pPr>
      <w:r>
        <w:t>What offset it</w:t>
      </w:r>
    </w:p>
    <w:p>
      <w:r>
        <w:t>381 facilities cured out of 30+, removing SAR 4,575,280 from the numerator, and 875 facilities improved bucket overall. The aggregate still rose.</w:t>
      </w:r>
    </w:p>
    <w:p>
      <w:pPr>
        <w:pStyle w:val="Heading3"/>
      </w:pPr>
      <w:r>
        <w:t>Materiality</w:t>
      </w:r>
    </w:p>
    <w:p>
      <w:r>
        <w:t>The loss allowance on the same population moved from SAR 13,373,605 to SAR 15,100,378, of which SAR 1,472,335 is probability of default.</w:t>
      </w:r>
    </w:p>
    <w:p>
      <w:pPr>
        <w:pStyle w:val="Heading1"/>
      </w:pPr>
      <w:r>
        <w:t>3. Trend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296"/>
          </w:tcPr>
          <w:p>
            <w:r>
              <w:rPr>
                <w:b/>
                <w:sz w:val="16"/>
              </w:rPr>
              <w:t>Month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By exposure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By account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Facilities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Customers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Exposure (SAR)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2026-03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5.12%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3.28%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18,244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16,426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150,137,686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2026-04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5.44%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3.35%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18,558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16,689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152,956,813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2026-05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5.72%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3.60%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18,850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16,920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156,797,472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2026-06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6.47%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4.09%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19,153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17,165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161,563,344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2026-07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6.91%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4.42%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19,475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17,402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167,555,598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2026-08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7.51%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4.84%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19,788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17,645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174,293,634</w:t>
            </w:r>
          </w:p>
        </w:tc>
      </w:tr>
    </w:tbl>
    <w:p>
      <w:r>
        <w:rPr>
          <w:i/>
          <w:sz w:val="16"/>
        </w:rPr>
        <w:t>Table 1. 30+ DPD over 2026-03 to 2026-08.</w:t>
      </w:r>
    </w:p>
    <w:p/>
    <w:p>
      <w:pPr>
        <w:pStyle w:val="Heading1"/>
      </w:pPr>
      <w:r>
        <w:t>4. Where facilities moved</w:t>
      </w:r>
    </w:p>
    <w:p>
      <w:r>
        <w:t>Facilities matched on facility_id across the two months. A facility present in only one of them is an entrant or an exit and is reported separately; neither is allowed to appear as a migration.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76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Matched facilities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19,396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Moved to a worse bucket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1,807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Moved to a better bucket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875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Held their bucket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16,714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Entered the book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392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Left the book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79</w:t>
            </w:r>
          </w:p>
        </w:tc>
      </w:tr>
    </w:tbl>
    <w:p/>
    <w:p>
      <w:pPr>
        <w:pStyle w:val="Heading2"/>
      </w:pPr>
      <w:r>
        <w:t>4.1 Transition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152"/>
          </w:tcPr>
          <w:p>
            <w:r>
              <w:rPr>
                <w:b/>
                <w:sz w:val="16"/>
              </w:rPr>
              <w:t>From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To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Facilities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Opening exposure (SAR)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Closing exposure (SAR)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Share of the row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16,591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134,121,587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136,962,111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94.23%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975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10,890,013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11,513,813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5.54%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397,522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429,875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0.23%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494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4,830,785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4,850,995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53.00%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438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5,093,461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5,385,999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47.00%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212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2,417,471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2,338,792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49.77%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60-89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214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2,921,792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3,050,114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50.23%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60-89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1,176,400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1,109,363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41.59%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60-89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90-179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1,839,226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1,947,094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58.41%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90-179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796,905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719,334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90-179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90-179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1,308,719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1,339,532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51.25%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90-179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180+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213,144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214,681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8.75%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worse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180+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CURRENT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184,504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154,690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28.07%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better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180+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180+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662,939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680,090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71.93%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held</w:t>
            </w:r>
          </w:p>
        </w:tc>
      </w:tr>
    </w:tbl>
    <w:p>
      <w:r>
        <w:rPr>
          <w:i/>
          <w:sz w:val="16"/>
        </w:rPr>
        <w:t>Table 2. Observed movement on facilities present in both months. Entrants and exits are reported above and are not in this matrix.</w:t>
      </w:r>
    </w:p>
    <w:p/>
    <w:p>
      <w:pPr>
        <w:pStyle w:val="Heading1"/>
      </w:pPr>
      <w:r>
        <w:t>5. How that moved the rate</w:t>
      </w:r>
    </w:p>
    <w:p>
      <w:r>
        <w:t>Identity: r1 − r0 = (N1 − N0)/D1 + N0(1/D1 − 1/D0)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16"/>
          </w:tcPr>
          <w:p>
            <w:r>
              <w:rPr>
                <w:b/>
                <w:sz w:val="16"/>
              </w:rPr>
              <w:t>Part</w:t>
            </w:r>
          </w:p>
        </w:tc>
        <w:tc>
          <w:tcPr>
            <w:tcW w:type="dxa" w:w="1584"/>
          </w:tcPr>
          <w:p>
            <w:r>
              <w:rPr>
                <w:b/>
                <w:sz w:val="16"/>
              </w:rPr>
              <w:t>Contribution (pp)</w:t>
            </w:r>
          </w:p>
        </w:tc>
        <w:tc>
          <w:tcPr>
            <w:tcW w:type="dxa" w:w="4896"/>
          </w:tcPr>
          <w:p>
            <w:r>
              <w:rPr>
                <w:b/>
                <w:sz w:val="16"/>
              </w:rPr>
              <w:t>What it is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Arrears moved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+0.8676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the change in the numerator, measured at this month's denominator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  <w:t>The book moved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-0.267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  <w:t>the change in the denominator, measured on last month's numerator</w:t>
            </w:r>
          </w:p>
        </w:tc>
      </w:tr>
    </w:tbl>
    <w:p>
      <w:r>
        <w:rPr>
          <w:i/>
          <w:sz w:val="16"/>
        </w:rPr>
        <w:t>Table 3. The change in the rate, split between its numerator and its denominator.</w:t>
      </w:r>
    </w:p>
    <w:p/>
    <w:p>
      <w:pPr>
        <w:pStyle w:val="Heading2"/>
      </w:pPr>
      <w:r>
        <w:t>5.1 The flows behind the numerator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304"/>
          </w:tcPr>
          <w:p>
            <w:r>
              <w:rPr>
                <w:b/>
                <w:sz w:val="16"/>
              </w:rPr>
              <w:t>Flow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Facilities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Amount (SAR)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What it is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New arrears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479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5,815,873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facilities that were not 30+ last month and are now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Cures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381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-4,575,280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facilities that were 30+ last month and are not now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Balance movement on accounts that stayed 30+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476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285,692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no state change; the exposure behind it moved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Entrants already 30+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38,995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facilities new to the book that arrived in arrears</w:t>
            </w:r>
          </w:p>
        </w:tc>
      </w:tr>
      <w:tr>
        <w:tc>
          <w:tcPr>
            <w:tcW w:type="dxa" w:w="2304"/>
          </w:tcPr>
          <w:p>
            <w:r>
              <w:rPr>
                <w:sz w:val="16"/>
              </w:rPr>
              <w:t>Exits that were 30+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-53,067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written off, closed or sold while in arrears</w:t>
            </w:r>
          </w:p>
        </w:tc>
      </w:tr>
    </w:tbl>
    <w:p>
      <w:r>
        <w:rPr>
          <w:i/>
          <w:sz w:val="16"/>
        </w:rPr>
        <w:t>Table 4. These flows explain the numerator's movement of SAR 1,512,214 with a residual of SAR 0.</w:t>
      </w:r>
    </w:p>
    <w:p/>
    <w:p>
      <w:r>
        <w:t>These are observed state changes. A change in modelled PD is not among them: a model may revise its expectation without any customer missing a payment, so it cannot be a reason an arrears rate moved. Its effect on the loss allowance is the separate ECL bridge.</w:t>
      </w:r>
    </w:p>
    <w:p>
      <w:pPr>
        <w:pStyle w:val="Heading1"/>
      </w:pPr>
      <w:r>
        <w:t>6. Where the change sits</w:t>
      </w:r>
    </w:p>
    <w:p>
      <w:pPr>
        <w:pStyle w:val="Heading2"/>
      </w:pPr>
      <w:r>
        <w:t>6.1 By product</w:t>
      </w:r>
    </w:p>
    <w:p>
      <w:r>
        <w:t>Mix 0.0 pp plus within-rate 0.6006 pp equals 0.6006 pp, against an observed 0.6006 pp. Formula: Σ(w1−w0)(r0+r1)/2 + Σ(r1−r0)(w0+w1)/2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872"/>
          </w:tcPr>
          <w:p>
            <w:r>
              <w:rPr>
                <w:b/>
                <w:sz w:val="16"/>
              </w:rPr>
              <w:t>Segment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Rate before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Rate after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Weight before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Weight after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Mix (pp)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Within (pp)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Total (pp)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CREDIT_CARD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6.91%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7.51%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100.00%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+0.6006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+0.6006</w:t>
            </w:r>
          </w:p>
        </w:tc>
      </w:tr>
    </w:tbl>
    <w:p>
      <w:r>
        <w:rPr>
          <w:i/>
          <w:sz w:val="16"/>
        </w:rPr>
        <w:t>Table 5. Symmetric, so it does not depend on which period is taken as the base. Entrants and exits are inside their segment's weight and rate; the transition matrix separates them.</w:t>
      </w:r>
    </w:p>
    <w:p/>
    <w:p>
      <w:pPr>
        <w:pStyle w:val="Heading2"/>
      </w:pPr>
      <w:r>
        <w:t>6.2 By salaried / non-salaried</w:t>
      </w:r>
    </w:p>
    <w:p>
      <w:r>
        <w:t>Mix 0.0003 pp plus within-rate 0.6002 pp equals 0.6006 pp, against an observed 0.6006 pp. Formula: Σ(w1−w0)(r0+r1)/2 + Σ(r1−r0)(w0+w1)/2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872"/>
          </w:tcPr>
          <w:p>
            <w:r>
              <w:rPr>
                <w:b/>
                <w:sz w:val="16"/>
              </w:rPr>
              <w:t>Segment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Rate before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Rate after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Weight before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Weight after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Mix (pp)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Within (pp)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Total (pp)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SALARIED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7.06%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7.56%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86.50%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86.55%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+0.0032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+0.4275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+0.4308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NON_SALARIED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5.92%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7.20%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13.50%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13.45%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-0.0029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+0.1727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+0.1698</w:t>
            </w:r>
          </w:p>
        </w:tc>
      </w:tr>
    </w:tbl>
    <w:p>
      <w:r>
        <w:rPr>
          <w:i/>
          <w:sz w:val="16"/>
        </w:rPr>
        <w:t>Table 6. Symmetric, so it does not depend on which period is taken as the base. Entrants and exits are inside their segment's weight and rate; the transition matrix separates them.</w:t>
      </w:r>
    </w:p>
    <w:p/>
    <w:p>
      <w:pPr>
        <w:pStyle w:val="Heading2"/>
      </w:pPr>
      <w:r>
        <w:t>6.3 By sub-product</w:t>
      </w:r>
    </w:p>
    <w:p>
      <w:r>
        <w:t>Mix -0.0006 pp plus within-rate 0.6012 pp equals 0.6006 pp, against an observed 0.6006 pp. Formula: Σ(w1−w0)(r0+r1)/2 + Σ(r1−r0)(w0+w1)/2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872"/>
          </w:tcPr>
          <w:p>
            <w:r>
              <w:rPr>
                <w:b/>
                <w:sz w:val="16"/>
              </w:rPr>
              <w:t>Segment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Rate before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Rate after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Weight before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Weight after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Mix (pp)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Within (pp)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Total (pp)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CC_CLASSIC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7.21%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8.00%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28.69%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28.62%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-0.0051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+0.2267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+0.2216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CC_INFINITE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5.24%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7.15%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9.93%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9.93%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-0.0004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+0.1898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+0.1894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CC_SIGNATURE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7.21%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8.06%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14.24%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14.19%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-0.004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+0.1207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+0.1166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CC_PLATINUM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6.98%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7.12%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47.14%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47.26%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+0.0089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+0.064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+0.0729</w:t>
            </w:r>
          </w:p>
        </w:tc>
      </w:tr>
    </w:tbl>
    <w:p>
      <w:r>
        <w:rPr>
          <w:i/>
          <w:sz w:val="16"/>
        </w:rPr>
        <w:t>Table 7. Symmetric, so it does not depend on which period is taken as the base. Entrants and exits are inside their segment's weight and rate; the transition matrix separates them.</w:t>
      </w:r>
    </w:p>
    <w:p/>
    <w:p>
      <w:pPr>
        <w:pStyle w:val="Heading1"/>
      </w:pPr>
      <w:r>
        <w:t>7. The loss allowance, separately</w:t>
      </w:r>
    </w:p>
    <w:p>
      <w:r>
        <w:t>Sequential replacement: opening inputs are replaced one driver at a time in the published order, and each contribution is the change that replacement caused. The attribution is order-dependent — a different order moves amounts between drivers while the total stays the same — which is why the order is published with the result. This is not a Shapley decomposition and is not presented as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3168"/>
          </w:tcPr>
          <w:p>
            <w:r>
              <w:rPr>
                <w:b/>
                <w:sz w:val="16"/>
              </w:rPr>
              <w:t>Driver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Amount (SAR)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Kind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Facilities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New originations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181,914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population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392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Exits and closures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-60,722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population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79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Stage and horizon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-20,914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19,396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Probability of default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1,472,335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19,396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Loss given default and recovery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19,396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Exposure and amortisation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154,160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19,396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Scenario weights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19,396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Management overlay and rounding to the published allowance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anchor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19,396</w:t>
            </w:r>
          </w:p>
        </w:tc>
      </w:tr>
    </w:tbl>
    <w:p>
      <w:r>
        <w:rPr>
          <w:i/>
          <w:sz w:val="16"/>
        </w:rPr>
        <w:t>Table 8. Opening SAR 13,373,605 plus these contributions equals closing SAR 15,100,378; unexplained residual SAR 0.01.</w:t>
      </w:r>
    </w:p>
    <w:p/>
    <w:p>
      <w:pPr>
        <w:pStyle w:val="Heading1"/>
      </w:pPr>
      <w:r>
        <w:t>8. What improved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76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Facilities that improved bucket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875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Exposure that improved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9,406,065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Facilities that left 30+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381</w:t>
            </w:r>
          </w:p>
        </w:tc>
      </w:tr>
    </w:tbl>
    <w:p/>
    <w:p>
      <w:r>
        <w:t>Improvements are reported beside the deterioration rather than netted into it. A book can worsen in aggregate while thousands of accounts cure.</w:t>
      </w:r>
    </w:p>
    <w:p>
      <w:pPr>
        <w:pStyle w:val="Heading1"/>
      </w:pPr>
      <w:r>
        <w:t>9. Customers carrying most of the movement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584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2304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Facilities crossing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Exposure crossing (SAR)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From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To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RC-0059394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Reem Al-Juhani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57,457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RC-0014052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Hatim Al-Subaie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56,611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RC-0015548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Faisal Al-Balawi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53,383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RC-0079938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Saud Al-Yami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51,015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RC-0052222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Ziyad Al-Dosari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47,802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RC-0051865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Nada Al-Subaie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47,679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RC-0056234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Sultan Al-Rashidi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44,010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RC-0076925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Sara Al-Balawi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41,939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RC-0083655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Omar Al-Anzi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41,122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  <w:tr>
        <w:tc>
          <w:tcPr>
            <w:tcW w:type="dxa" w:w="1584"/>
          </w:tcPr>
          <w:p>
            <w:r>
              <w:rPr>
                <w:sz w:val="16"/>
              </w:rPr>
              <w:t>RC-0013391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Hessa Al-Subaie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39,482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1-29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30-59</w:t>
            </w:r>
          </w:p>
        </w:tc>
      </w:tr>
    </w:tbl>
    <w:p>
      <w:r>
        <w:rPr>
          <w:i/>
          <w:sz w:val="16"/>
        </w:rPr>
        <w:t>Table 9. Ranked by the exposure that crossed into 30+ this month.</w:t>
      </w:r>
    </w:p>
    <w:p/>
    <w:p>
      <w:pPr>
        <w:pStyle w:val="Heading1"/>
      </w:pPr>
      <w:r>
        <w:t>10. Analyst and reviewer comments</w:t>
      </w:r>
    </w:p>
    <w:p>
      <w:r>
        <w:t>Comments are attached to a specific test, run and data version. They are reproduced here exactly as they were written; nothing in this section is generated.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440"/>
          </w:tcPr>
          <w:p>
            <w:r>
              <w:rPr>
                <w:b/>
                <w:sz w:val="16"/>
              </w:rPr>
              <w:t>Section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Author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When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Assessment</w:t>
            </w:r>
          </w:p>
        </w:tc>
        <w:tc>
          <w:tcPr>
            <w:tcW w:type="dxa" w:w="3168"/>
          </w:tcPr>
          <w:p>
            <w:r>
              <w:rPr>
                <w:b/>
                <w:sz w:val="16"/>
              </w:rPr>
              <w:t>Comment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Transition matrix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S. Nishtha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2026-09-15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Concern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Cures are holding up; the driver is new arrears in CC_CLASSIC.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Open</w:t>
            </w:r>
          </w:p>
        </w:tc>
      </w:tr>
    </w:tbl>
    <w:p>
      <w:r>
        <w:rPr>
          <w:i/>
          <w:sz w:val="16"/>
        </w:rPr>
        <w:t>Table 10. Comments recorded against this analysis.</w:t>
      </w:r>
    </w:p>
    <w:p/>
    <w:p>
      <w:pPr>
        <w:pStyle w:val="Heading1"/>
      </w:pPr>
      <w:r>
        <w:t>11. Remediation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4608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Proposed due date</w:t>
            </w:r>
          </w:p>
        </w:tc>
        <w:tc>
          <w:tcPr>
            <w:tcW w:type="dxa" w:w="1152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4608"/>
          </w:tcPr>
          <w:p>
            <w:r>
              <w:rPr>
                <w:sz w:val="16"/>
              </w:rPr>
              <w:t>Review collections capacity for CC_CLASSIC 1-29 roll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Head of Collections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2026-10-15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Proposed</w:t>
            </w:r>
          </w:p>
        </w:tc>
      </w:tr>
    </w:tbl>
    <w:p>
      <w:r>
        <w:rPr>
          <w:i/>
          <w:sz w:val="16"/>
        </w:rPr>
        <w:t>Table 11. Actions proposed by this analysis.</w:t>
      </w:r>
    </w:p>
    <w:p/>
    <w:p>
      <w:pPr>
        <w:pStyle w:val="Heading1"/>
      </w:pPr>
      <w:r>
        <w:t>12. Method, limitations and trace</w:t>
      </w:r>
    </w:p>
    <w:p>
      <w:pPr>
        <w:pStyle w:val="ListBullet"/>
      </w:pPr>
      <w:r>
        <w:t>Observed state changes, on facilities matched across the two months. Entrants and exits are reported separately and are not attributed to any migration.</w:t>
      </w:r>
    </w:p>
    <w:p>
      <w:pPr>
        <w:pStyle w:val="ListBullet"/>
      </w:pPr>
      <w:r>
        <w:t>The ECL bridge is a sequential revaluation in a published order. It is order-dependent: a different order moves amounts between drivers while the total is unchanged. It is not a Shapley decomposition.</w:t>
      </w:r>
    </w:p>
    <w:p>
      <w:pPr>
        <w:pStyle w:val="ListBullet"/>
      </w:pPr>
      <w:r>
        <w:t>Synthetic demonstration data. Not ANB customer history and not an approved model.</w:t>
      </w:r>
    </w:p>
    <w:p>
      <w:pPr>
        <w:pStyle w:val="Heading2"/>
      </w:pPr>
      <w:r>
        <w:t>12.1 Metric definitions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72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Numerator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Denominator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Horizon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30+ DPD rate, exposure-weighted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Gross carrying amount on facilities 30 or more days past due at the month-end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Gross carrying amount of all facilities at the month-end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point in time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30+ DPD rate, by account count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Count of facilities 30 or more days past due at the month-end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Count of all facilities at the month-end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point in time</w:t>
            </w:r>
          </w:p>
        </w:tc>
      </w:tr>
    </w:tbl>
    <w:p>
      <w:r>
        <w:rPr>
          <w:i/>
          <w:sz w:val="16"/>
        </w:rPr>
        <w:t>Table 12. Every figure in this report uses these definitions.</w:t>
      </w:r>
    </w:p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Page </w:t>
    </w:r>
    <w:r>
      <w:fldChar w:fldCharType="begin"/>
      <w:instrText xml:space="preserve"> PAGE </w:instrText>
      <w:fldChar w:fldCharType="end"/>
    </w:r>
    <w:r>
      <w:rPr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6B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