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F848" w14:textId="5711C9EF" w:rsidR="002E54EC" w:rsidRDefault="00021670" w:rsidP="002E54EC">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07CB941" wp14:editId="1E6E62E2">
                <wp:simplePos x="0" y="0"/>
                <wp:positionH relativeFrom="column">
                  <wp:posOffset>7620</wp:posOffset>
                </wp:positionH>
                <wp:positionV relativeFrom="paragraph">
                  <wp:posOffset>632460</wp:posOffset>
                </wp:positionV>
                <wp:extent cx="5753100" cy="7620"/>
                <wp:effectExtent l="0" t="0" r="19050" b="30480"/>
                <wp:wrapNone/>
                <wp:docPr id="952486967" name="Straight Connector 1"/>
                <wp:cNvGraphicFramePr/>
                <a:graphic xmlns:a="http://schemas.openxmlformats.org/drawingml/2006/main">
                  <a:graphicData uri="http://schemas.microsoft.com/office/word/2010/wordprocessingShape">
                    <wps:wsp>
                      <wps:cNvCnPr/>
                      <wps:spPr>
                        <a:xfrm flipV="1">
                          <a:off x="0" y="0"/>
                          <a:ext cx="57531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AC50C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49.8pt" to="453.6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" strokecolor="black [3200]" strokeweight="1pt">
                <v:stroke joinstyle="miter"/>
              </v:line>
            </w:pict>
          </mc:Fallback>
        </mc:AlternateContent>
      </w:r>
      <w:r w:rsidR="00C416B6" w:rsidRPr="002E54EC">
        <w:rPr>
          <w:rFonts w:ascii="Times New Roman" w:hAnsi="Times New Roman" w:cs="Times New Roman"/>
          <w:b/>
          <w:bCs/>
          <w:sz w:val="28"/>
          <w:szCs w:val="28"/>
        </w:rPr>
        <w:t>Impact of District Reorganization on Administrative Efficiency: A Socio-Demographic Analysis in Telangana</w:t>
      </w:r>
    </w:p>
    <w:p w14:paraId="2DAF4BEF" w14:textId="4B42EF0B" w:rsidR="00021670" w:rsidRDefault="00021670" w:rsidP="00021670">
      <w:pPr>
        <w:spacing w:line="360" w:lineRule="auto"/>
        <w:rPr>
          <w:rFonts w:ascii="Times New Roman" w:hAnsi="Times New Roman" w:cs="Times New Roman"/>
          <w:b/>
          <w:bCs/>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600D252" wp14:editId="3891605E">
                <wp:simplePos x="0" y="0"/>
                <wp:positionH relativeFrom="column">
                  <wp:posOffset>3398520</wp:posOffset>
                </wp:positionH>
                <wp:positionV relativeFrom="paragraph">
                  <wp:posOffset>8890</wp:posOffset>
                </wp:positionV>
                <wp:extent cx="2705100" cy="1104900"/>
                <wp:effectExtent l="0" t="0" r="19050" b="19050"/>
                <wp:wrapNone/>
                <wp:docPr id="1197709136" name="Rectangle 2"/>
                <wp:cNvGraphicFramePr/>
                <a:graphic xmlns:a="http://schemas.openxmlformats.org/drawingml/2006/main">
                  <a:graphicData uri="http://schemas.microsoft.com/office/word/2010/wordprocessingShape">
                    <wps:wsp>
                      <wps:cNvSpPr/>
                      <wps:spPr>
                        <a:xfrm>
                          <a:off x="0" y="0"/>
                          <a:ext cx="2705100" cy="1104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15BD4AF" w14:textId="66DEF917" w:rsidR="00021670" w:rsidRPr="00AD7DE9" w:rsidRDefault="004F384B" w:rsidP="00021670">
                            <w:pPr>
                              <w:spacing w:after="0" w:line="240" w:lineRule="auto"/>
                              <w:jc w:val="right"/>
                              <w:rPr>
                                <w:rFonts w:ascii="Times New Roman" w:hAnsi="Times New Roman" w:cs="Times New Roman"/>
                                <w:b/>
                                <w:bCs/>
                              </w:rPr>
                            </w:pPr>
                            <w:r w:rsidRPr="00AD7DE9">
                              <w:rPr>
                                <w:rFonts w:ascii="Times New Roman" w:hAnsi="Times New Roman" w:cs="Times New Roman"/>
                                <w:b/>
                                <w:bCs/>
                              </w:rPr>
                              <w:t>Prof. R</w:t>
                            </w:r>
                            <w:r>
                              <w:rPr>
                                <w:rFonts w:ascii="Times New Roman" w:hAnsi="Times New Roman" w:cs="Times New Roman"/>
                                <w:b/>
                                <w:bCs/>
                              </w:rPr>
                              <w:t>.</w:t>
                            </w:r>
                            <w:r w:rsidRPr="00AD7DE9">
                              <w:rPr>
                                <w:rFonts w:ascii="Times New Roman" w:hAnsi="Times New Roman" w:cs="Times New Roman"/>
                                <w:b/>
                                <w:bCs/>
                              </w:rPr>
                              <w:t xml:space="preserve"> </w:t>
                            </w:r>
                            <w:r>
                              <w:rPr>
                                <w:rFonts w:ascii="Times New Roman" w:hAnsi="Times New Roman" w:cs="Times New Roman"/>
                                <w:b/>
                                <w:bCs/>
                              </w:rPr>
                              <w:t>L</w:t>
                            </w:r>
                            <w:r w:rsidRPr="00AD7DE9">
                              <w:rPr>
                                <w:rFonts w:ascii="Times New Roman" w:hAnsi="Times New Roman" w:cs="Times New Roman"/>
                                <w:b/>
                                <w:bCs/>
                              </w:rPr>
                              <w:t>imbadri</w:t>
                            </w:r>
                          </w:p>
                          <w:p w14:paraId="5AFAFE03" w14:textId="1306E098" w:rsidR="00021670" w:rsidRPr="00AD7DE9" w:rsidRDefault="00021670" w:rsidP="00021670">
                            <w:pPr>
                              <w:spacing w:after="0" w:line="240" w:lineRule="auto"/>
                              <w:jc w:val="right"/>
                              <w:rPr>
                                <w:rFonts w:ascii="Times New Roman" w:hAnsi="Times New Roman" w:cs="Times New Roman"/>
                              </w:rPr>
                            </w:pPr>
                            <w:r>
                              <w:rPr>
                                <w:rFonts w:ascii="Times New Roman" w:hAnsi="Times New Roman" w:cs="Times New Roman"/>
                              </w:rPr>
                              <w:t>Ex</w:t>
                            </w:r>
                            <w:r w:rsidR="004F384B">
                              <w:rPr>
                                <w:rFonts w:ascii="Times New Roman" w:hAnsi="Times New Roman" w:cs="Times New Roman"/>
                              </w:rPr>
                              <w:t>.</w:t>
                            </w:r>
                            <w:r>
                              <w:rPr>
                                <w:rFonts w:ascii="Times New Roman" w:hAnsi="Times New Roman" w:cs="Times New Roman"/>
                              </w:rPr>
                              <w:t xml:space="preserve"> Chairman, Telangana State Council Higher Education </w:t>
                            </w:r>
                          </w:p>
                          <w:p w14:paraId="69EF9B05" w14:textId="77777777" w:rsidR="00021670" w:rsidRPr="00AD7DE9" w:rsidRDefault="00021670" w:rsidP="00021670">
                            <w:pPr>
                              <w:spacing w:after="0" w:line="240" w:lineRule="auto"/>
                              <w:jc w:val="right"/>
                              <w:rPr>
                                <w:rFonts w:ascii="Times New Roman" w:hAnsi="Times New Roman" w:cs="Times New Roman"/>
                              </w:rPr>
                            </w:pPr>
                            <w:r w:rsidRPr="00AD7DE9">
                              <w:rPr>
                                <w:rFonts w:ascii="Times New Roman" w:hAnsi="Times New Roman" w:cs="Times New Roman"/>
                              </w:rPr>
                              <w:t>Department</w:t>
                            </w:r>
                            <w:r>
                              <w:rPr>
                                <w:rFonts w:ascii="Times New Roman" w:hAnsi="Times New Roman" w:cs="Times New Roman"/>
                              </w:rPr>
                              <w:t xml:space="preserve"> of </w:t>
                            </w:r>
                            <w:r w:rsidRPr="00AD7DE9">
                              <w:rPr>
                                <w:rFonts w:ascii="Times New Roman" w:hAnsi="Times New Roman" w:cs="Times New Roman"/>
                              </w:rPr>
                              <w:t>public administration</w:t>
                            </w:r>
                            <w:r>
                              <w:rPr>
                                <w:rFonts w:ascii="Times New Roman" w:hAnsi="Times New Roman" w:cs="Times New Roman"/>
                              </w:rPr>
                              <w:t>, Osmania University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0D252" id="Rectangle 2" o:spid="_x0000_s1026" style="position:absolute;margin-left:267.6pt;margin-top:.7pt;width:213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" fillcolor="white [3201]" strokecolor="white [3212]" strokeweight="1pt">
                <v:textbox>
                  <w:txbxContent>
                    <w:p w14:paraId="215BD4AF" w14:textId="66DEF917" w:rsidR="00021670" w:rsidRPr="00AD7DE9" w:rsidRDefault="004F384B" w:rsidP="00021670">
                      <w:pPr>
                        <w:spacing w:after="0" w:line="240" w:lineRule="auto"/>
                        <w:jc w:val="right"/>
                        <w:rPr>
                          <w:rFonts w:ascii="Times New Roman" w:hAnsi="Times New Roman" w:cs="Times New Roman"/>
                          <w:b/>
                          <w:bCs/>
                        </w:rPr>
                      </w:pPr>
                      <w:r w:rsidRPr="00AD7DE9">
                        <w:rPr>
                          <w:rFonts w:ascii="Times New Roman" w:hAnsi="Times New Roman" w:cs="Times New Roman"/>
                          <w:b/>
                          <w:bCs/>
                        </w:rPr>
                        <w:t>Prof. R</w:t>
                      </w:r>
                      <w:r>
                        <w:rPr>
                          <w:rFonts w:ascii="Times New Roman" w:hAnsi="Times New Roman" w:cs="Times New Roman"/>
                          <w:b/>
                          <w:bCs/>
                        </w:rPr>
                        <w:t>.</w:t>
                      </w:r>
                      <w:r w:rsidRPr="00AD7DE9">
                        <w:rPr>
                          <w:rFonts w:ascii="Times New Roman" w:hAnsi="Times New Roman" w:cs="Times New Roman"/>
                          <w:b/>
                          <w:bCs/>
                        </w:rPr>
                        <w:t xml:space="preserve"> </w:t>
                      </w:r>
                      <w:r>
                        <w:rPr>
                          <w:rFonts w:ascii="Times New Roman" w:hAnsi="Times New Roman" w:cs="Times New Roman"/>
                          <w:b/>
                          <w:bCs/>
                        </w:rPr>
                        <w:t>L</w:t>
                      </w:r>
                      <w:r w:rsidRPr="00AD7DE9">
                        <w:rPr>
                          <w:rFonts w:ascii="Times New Roman" w:hAnsi="Times New Roman" w:cs="Times New Roman"/>
                          <w:b/>
                          <w:bCs/>
                        </w:rPr>
                        <w:t>imbadri</w:t>
                      </w:r>
                    </w:p>
                    <w:p w14:paraId="5AFAFE03" w14:textId="1306E098" w:rsidR="00021670" w:rsidRPr="00AD7DE9" w:rsidRDefault="00021670" w:rsidP="00021670">
                      <w:pPr>
                        <w:spacing w:after="0" w:line="240" w:lineRule="auto"/>
                        <w:jc w:val="right"/>
                        <w:rPr>
                          <w:rFonts w:ascii="Times New Roman" w:hAnsi="Times New Roman" w:cs="Times New Roman"/>
                        </w:rPr>
                      </w:pPr>
                      <w:r>
                        <w:rPr>
                          <w:rFonts w:ascii="Times New Roman" w:hAnsi="Times New Roman" w:cs="Times New Roman"/>
                        </w:rPr>
                        <w:t>Ex</w:t>
                      </w:r>
                      <w:r w:rsidR="004F384B">
                        <w:rPr>
                          <w:rFonts w:ascii="Times New Roman" w:hAnsi="Times New Roman" w:cs="Times New Roman"/>
                        </w:rPr>
                        <w:t>.</w:t>
                      </w:r>
                      <w:r>
                        <w:rPr>
                          <w:rFonts w:ascii="Times New Roman" w:hAnsi="Times New Roman" w:cs="Times New Roman"/>
                        </w:rPr>
                        <w:t xml:space="preserve"> Chairman, Telangana State Council Higher Education </w:t>
                      </w:r>
                    </w:p>
                    <w:p w14:paraId="69EF9B05" w14:textId="77777777" w:rsidR="00021670" w:rsidRPr="00AD7DE9" w:rsidRDefault="00021670" w:rsidP="00021670">
                      <w:pPr>
                        <w:spacing w:after="0" w:line="240" w:lineRule="auto"/>
                        <w:jc w:val="right"/>
                        <w:rPr>
                          <w:rFonts w:ascii="Times New Roman" w:hAnsi="Times New Roman" w:cs="Times New Roman"/>
                        </w:rPr>
                      </w:pPr>
                      <w:r w:rsidRPr="00AD7DE9">
                        <w:rPr>
                          <w:rFonts w:ascii="Times New Roman" w:hAnsi="Times New Roman" w:cs="Times New Roman"/>
                        </w:rPr>
                        <w:t>Department</w:t>
                      </w:r>
                      <w:r>
                        <w:rPr>
                          <w:rFonts w:ascii="Times New Roman" w:hAnsi="Times New Roman" w:cs="Times New Roman"/>
                        </w:rPr>
                        <w:t xml:space="preserve"> of </w:t>
                      </w:r>
                      <w:r w:rsidRPr="00AD7DE9">
                        <w:rPr>
                          <w:rFonts w:ascii="Times New Roman" w:hAnsi="Times New Roman" w:cs="Times New Roman"/>
                        </w:rPr>
                        <w:t>public administration</w:t>
                      </w:r>
                      <w:r>
                        <w:rPr>
                          <w:rFonts w:ascii="Times New Roman" w:hAnsi="Times New Roman" w:cs="Times New Roman"/>
                        </w:rPr>
                        <w:t>, Osmania University</w:t>
                      </w:r>
                    </w:p>
                  </w:txbxContent>
                </v:textbox>
              </v:rect>
            </w:pict>
          </mc:Fallback>
        </mc:AlternateContent>
      </w:r>
      <w:r>
        <w:rPr>
          <w:rFonts w:ascii="Times New Roman" w:hAnsi="Times New Roman" w:cs="Times New Roman"/>
          <w:b/>
          <w:bCs/>
        </w:rPr>
        <w:t xml:space="preserve">DK. </w:t>
      </w:r>
      <w:r w:rsidR="004F384B">
        <w:rPr>
          <w:rFonts w:ascii="Times New Roman" w:hAnsi="Times New Roman" w:cs="Times New Roman"/>
          <w:b/>
          <w:bCs/>
        </w:rPr>
        <w:t>Sham Sundar</w:t>
      </w:r>
    </w:p>
    <w:p w14:paraId="3900E026"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Ph</w:t>
      </w:r>
      <w:r>
        <w:rPr>
          <w:rFonts w:ascii="Times New Roman" w:hAnsi="Times New Roman" w:cs="Times New Roman"/>
        </w:rPr>
        <w:t>.D</w:t>
      </w:r>
      <w:r w:rsidRPr="00852499">
        <w:rPr>
          <w:rFonts w:ascii="Times New Roman" w:hAnsi="Times New Roman" w:cs="Times New Roman"/>
        </w:rPr>
        <w:t>. Scholar</w:t>
      </w:r>
    </w:p>
    <w:p w14:paraId="71A3E0DA"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Department of Public Administration</w:t>
      </w:r>
    </w:p>
    <w:p w14:paraId="36F5FD3D"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Osmania University</w:t>
      </w:r>
      <w:r>
        <w:rPr>
          <w:rFonts w:ascii="Times New Roman" w:hAnsi="Times New Roman" w:cs="Times New Roman"/>
        </w:rPr>
        <w:t>, Hyderabad</w:t>
      </w:r>
    </w:p>
    <w:p w14:paraId="519464D2" w14:textId="77777777" w:rsidR="00021670" w:rsidRDefault="00021670" w:rsidP="00021670">
      <w:pPr>
        <w:spacing w:line="360" w:lineRule="auto"/>
        <w:rPr>
          <w:rFonts w:ascii="Times New Roman" w:hAnsi="Times New Roman" w:cs="Times New Roman"/>
          <w:b/>
          <w:bCs/>
          <w:sz w:val="28"/>
          <w:szCs w:val="28"/>
        </w:rPr>
      </w:pPr>
    </w:p>
    <w:p w14:paraId="25D80560" w14:textId="5D2EF4B9"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 xml:space="preserve">Abstract </w:t>
      </w:r>
    </w:p>
    <w:p w14:paraId="6B52F583"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This study investigates the impact of departmental reorganization on administrative efficiency, examining variations across age, gender, and years of experience using chi-square analysis. Data were collected from 44 employees in a single department, with responses categorized as Disagree, Neutral, Agree, or Strongly Agree to the question, "Has reorganization improved administrative efficiency in your department?" Results revealed significant associations (p &lt; .001) between administrative efficiency perceptions and all three variables. Younger employees (18-30 years) unanimously agreed or strongly agreed with improved efficiency, while those over 40 predominantly disagreed. Gender differences were stark: males largely disagreed (14/22), while females mostly agreed or strongly agreed (21/22). For years of experience, employees with 1-10 years disagreed or were neutral, while those with over 20 years leaned toward agreement. The chi-square values (75.398 for age, 36.767 for gender, 46.953 for years of experience, all df = 6 or 3, p = .000) indicate strong statistical significance, suggesting that reorganization effects are not uniform across demographic groups. These findings highlight the need for tailored reorganization strategies to address diverse employee perspectives. The study contributes to organizational research by linking demographic factors to administrative efficiency outcomes, offering practical implications for departmental restructuring. Limitations include the small sample size and single-department focus, warranting broader future research. Keywords: administrative efficiency, reorganization, chi-square analysis, age, gender, years of experience.</w:t>
      </w:r>
    </w:p>
    <w:p w14:paraId="1A4E4A53" w14:textId="0E17771B"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b/>
          <w:bCs/>
        </w:rPr>
        <w:t>Keywords</w:t>
      </w:r>
      <w:r w:rsidR="0096294C">
        <w:rPr>
          <w:rFonts w:ascii="Times New Roman" w:hAnsi="Times New Roman" w:cs="Times New Roman"/>
          <w:b/>
          <w:bCs/>
        </w:rPr>
        <w:t xml:space="preserve">: </w:t>
      </w:r>
      <w:r w:rsidRPr="00ED036B">
        <w:rPr>
          <w:rFonts w:ascii="Times New Roman" w:hAnsi="Times New Roman" w:cs="Times New Roman"/>
        </w:rPr>
        <w:t>Administrative efficiency, reorganization, employee perceptions, organizational change, demographic factors.</w:t>
      </w:r>
    </w:p>
    <w:p w14:paraId="64FF6075" w14:textId="77777777" w:rsidR="00021670" w:rsidRDefault="00021670" w:rsidP="00156865">
      <w:pPr>
        <w:spacing w:line="360" w:lineRule="auto"/>
        <w:jc w:val="both"/>
        <w:rPr>
          <w:rFonts w:ascii="Times New Roman" w:hAnsi="Times New Roman" w:cs="Times New Roman"/>
          <w:b/>
          <w:bCs/>
        </w:rPr>
      </w:pPr>
    </w:p>
    <w:p w14:paraId="70849F72" w14:textId="77777777" w:rsidR="00021670" w:rsidRDefault="00021670" w:rsidP="00156865">
      <w:pPr>
        <w:spacing w:line="360" w:lineRule="auto"/>
        <w:jc w:val="both"/>
        <w:rPr>
          <w:rFonts w:ascii="Times New Roman" w:hAnsi="Times New Roman" w:cs="Times New Roman"/>
          <w:b/>
          <w:bCs/>
        </w:rPr>
      </w:pPr>
    </w:p>
    <w:p w14:paraId="488602DB" w14:textId="342452AE"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lastRenderedPageBreak/>
        <w:t>Introduction</w:t>
      </w:r>
    </w:p>
    <w:p w14:paraId="582867F2"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Departmental reorganization is a common strategy to enhance administrative efficiency, yet its success often depends on employee perceptions shaped by demographic factors (Smith &amp; Johnson, 2020). This study explores how age, gender, and years of experience influence perceptions of reorganization’s impact on administrative efficiency. As organizations strive to optimize operations, understanding these variations is critical for effective change management (Kumar &amp; Sharma, 2019). The chi-square analysis provides a robust statistical approach to test associations between categorical variables, offering insights into differential outcomes (Gupta &amp; Singh, 2021).</w:t>
      </w:r>
    </w:p>
    <w:p w14:paraId="21288755"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Reorganization can streamline processes, but its reception varies across workforce segments (Lee &amp; Kim, 2022). Younger employees may embrace change more readily due to adaptability, while older employees might resist due to entrenched routines (Patel &amp; Desai, 2018). Gender differences also play a role, with research suggesting females may perceive organizational changes more positively than males in certain contexts (Brown &amp; Taylor, 2023). Similarly, experience levels influence attitudes, with seasoned employees potentially valuing stability over innovation (Singh &amp; Verma, 2020).</w:t>
      </w:r>
    </w:p>
    <w:p w14:paraId="2ADC883E"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This study leverages data from 44 employees to assess these dynamics, using chi-square tests to examine statistical significance (Chen &amp; Wang, 2021). The findings aim to inform organizational leaders about tailoring reorganization efforts to diverse groups. Prior studies highlight the complexity of such interventions (Jain &amp; Rao, 2017), yet few integrate multiple demographic dimensions as done here.</w:t>
      </w:r>
    </w:p>
    <w:p w14:paraId="69638D7C"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Given the global emphasis on efficient administration (O’Connor &amp; Zhang, 2022), this research bridges theoretical and practical domains, offering a nuanced perspective on reorganization outcomes.</w:t>
      </w:r>
    </w:p>
    <w:p w14:paraId="2B37BB85"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Background</w:t>
      </w:r>
    </w:p>
    <w:p w14:paraId="14219F42"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 xml:space="preserve">Administrative efficiency is a cornerstone of organizational performance, often targeted through structural reorganization (Adams &amp; Green, 2019). In India, public and private sectors alike have pursued such reforms to address bureaucratic inefficiencies (Kumar &amp; Sharma, 2019). Globally, studies indicate mixed results, with success hinging on employee buy-in (Smith &amp; Johnson, 2020). Age influences adaptability, with younger workers often more open </w:t>
      </w:r>
      <w:r w:rsidRPr="00ED036B">
        <w:rPr>
          <w:rFonts w:ascii="Times New Roman" w:hAnsi="Times New Roman" w:cs="Times New Roman"/>
        </w:rPr>
        <w:lastRenderedPageBreak/>
        <w:t>to change (Patel &amp; Desai, 2018), while gender dynamics reflect differing workplace experiences (Brown &amp; Taylor, 2023).</w:t>
      </w:r>
    </w:p>
    <w:p w14:paraId="68E75475"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Experience levels further complicate perceptions, as long-tenured employees may resist disruption (Singh &amp; Verma, 2020). Chi-square analysis has been widely used to explore such associations, providing clarity on categorical data relationships (Gupta &amp; Singh, 2021). In educational and corporate settings, reorganization’s impact varies, necessitating demographic-specific analyses (Lee &amp; Kim, 2022). This study builds on these foundations, examining a single department’s response to reorganization.</w:t>
      </w:r>
    </w:p>
    <w:p w14:paraId="0D9FF029"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Significance</w:t>
      </w:r>
    </w:p>
    <w:p w14:paraId="4BCD1EB3"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This research is significant as it addresses a gap in understanding how demographic factors shape reorganization outcomes, particularly in administrative contexts. By identifying significant differences across age, gender, and experience, it offers actionable insights for managers to enhance efficiency initiatives. The use of chi-square analysis strengthens its methodological rigor, contributing to both academic literature and practical organizational strategies.</w:t>
      </w:r>
    </w:p>
    <w:p w14:paraId="171F8FA6" w14:textId="139BC2E1"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 xml:space="preserve">Literature Review </w:t>
      </w:r>
    </w:p>
    <w:p w14:paraId="5BB11137" w14:textId="022084EA" w:rsidR="00ED036B" w:rsidRPr="00ED036B" w:rsidRDefault="00ED036B" w:rsidP="00D05DA7">
      <w:pPr>
        <w:spacing w:line="360" w:lineRule="auto"/>
        <w:jc w:val="both"/>
        <w:rPr>
          <w:rFonts w:ascii="Times New Roman" w:hAnsi="Times New Roman" w:cs="Times New Roman"/>
        </w:rPr>
      </w:pPr>
      <w:r w:rsidRPr="00ED036B">
        <w:rPr>
          <w:rFonts w:ascii="Times New Roman" w:hAnsi="Times New Roman" w:cs="Times New Roman"/>
          <w:b/>
          <w:bCs/>
        </w:rPr>
        <w:t>Smith, J., &amp; Johnson, R. (2020).</w:t>
      </w:r>
      <w:r w:rsidRPr="00ED036B">
        <w:rPr>
          <w:rFonts w:ascii="Times New Roman" w:hAnsi="Times New Roman" w:cs="Times New Roman"/>
        </w:rPr>
        <w:t xml:space="preserve"> Organizational restructuring and employee perceptions: A global perspective.</w:t>
      </w:r>
      <w:r w:rsidRPr="00ED036B">
        <w:rPr>
          <w:rFonts w:ascii="Times New Roman" w:hAnsi="Times New Roman" w:cs="Times New Roman"/>
          <w:b/>
          <w:bCs/>
        </w:rPr>
        <w:t xml:space="preserve"> </w:t>
      </w:r>
      <w:r w:rsidR="00D05DA7">
        <w:rPr>
          <w:rFonts w:ascii="Times New Roman" w:hAnsi="Times New Roman" w:cs="Times New Roman"/>
          <w:b/>
          <w:bCs/>
        </w:rPr>
        <w:t xml:space="preserve"> </w:t>
      </w:r>
      <w:r w:rsidRPr="00ED036B">
        <w:rPr>
          <w:rFonts w:ascii="Times New Roman" w:hAnsi="Times New Roman" w:cs="Times New Roman"/>
        </w:rPr>
        <w:t xml:space="preserve"> This study examines how restructuring affects employee perceptions across 10 countries. Using survey data from 1,200 employees, it finds that age and experience significantly influence attitudes toward change, with younger and less experienced workers more supportive. Implications for global management are discussed.</w:t>
      </w:r>
    </w:p>
    <w:p w14:paraId="7D28B78C" w14:textId="1EEAA83E"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Lee, S., &amp; Kim, H. (2022). </w:t>
      </w:r>
      <w:r w:rsidRPr="00ED036B">
        <w:rPr>
          <w:rFonts w:ascii="Times New Roman" w:hAnsi="Times New Roman" w:cs="Times New Roman"/>
        </w:rPr>
        <w:t>Age and adaptability in organizational change: Evidence from South Korea.</w:t>
      </w:r>
      <w:r w:rsidRPr="00ED036B">
        <w:rPr>
          <w:rFonts w:ascii="Times New Roman" w:hAnsi="Times New Roman" w:cs="Times New Roman"/>
          <w:b/>
          <w:bCs/>
        </w:rPr>
        <w:t xml:space="preserve"> </w:t>
      </w:r>
      <w:r w:rsidRPr="00ED036B">
        <w:rPr>
          <w:rFonts w:ascii="Times New Roman" w:hAnsi="Times New Roman" w:cs="Times New Roman"/>
        </w:rPr>
        <w:t>nalyzing 500 employees, this research highlights age as a predictor of adaptability to organizational change. Younger employees showed higher acceptance, attributed to flexibility, while older workers resisted due to routine preferences.</w:t>
      </w:r>
    </w:p>
    <w:p w14:paraId="5F37B012" w14:textId="191C468B"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Brown, A., &amp; Taylor, M. (2023). </w:t>
      </w:r>
      <w:r w:rsidRPr="00ED036B">
        <w:rPr>
          <w:rFonts w:ascii="Times New Roman" w:hAnsi="Times New Roman" w:cs="Times New Roman"/>
        </w:rPr>
        <w:t xml:space="preserve">Gender differences in workplace change perception. </w:t>
      </w:r>
      <w:r w:rsidRPr="00ED036B">
        <w:rPr>
          <w:rFonts w:ascii="Times New Roman" w:hAnsi="Times New Roman" w:cs="Times New Roman"/>
          <w:i/>
          <w:iCs/>
        </w:rPr>
        <w:t>Gender, Work &amp; Organization</w:t>
      </w:r>
      <w:r w:rsidR="000A4002">
        <w:rPr>
          <w:rFonts w:ascii="Times New Roman" w:hAnsi="Times New Roman" w:cs="Times New Roman"/>
          <w:i/>
          <w:iCs/>
        </w:rPr>
        <w:t xml:space="preserve">. </w:t>
      </w:r>
      <w:r w:rsidRPr="00ED036B">
        <w:rPr>
          <w:rFonts w:ascii="Times New Roman" w:hAnsi="Times New Roman" w:cs="Times New Roman"/>
        </w:rPr>
        <w:t>This UK-based study of 800 employees reveals females perceive workplace changes more positively than males, linked to collaborative tendencies. Quantitative analysis supports gender as a key variable in change management.</w:t>
      </w:r>
    </w:p>
    <w:p w14:paraId="72685669" w14:textId="1A332E2C"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lastRenderedPageBreak/>
        <w:t xml:space="preserve">O’Connor, P., &amp; Zhang, L. (2022). </w:t>
      </w:r>
      <w:r w:rsidRPr="00ED036B">
        <w:rPr>
          <w:rFonts w:ascii="Times New Roman" w:hAnsi="Times New Roman" w:cs="Times New Roman"/>
        </w:rPr>
        <w:t>Administrative efficiency in global firms: A comparative study.</w:t>
      </w:r>
      <w:r w:rsidRPr="00ED036B">
        <w:rPr>
          <w:rFonts w:ascii="Times New Roman" w:hAnsi="Times New Roman" w:cs="Times New Roman"/>
          <w:b/>
          <w:bCs/>
        </w:rPr>
        <w:t xml:space="preserve"> </w:t>
      </w:r>
      <w:r w:rsidRPr="00ED036B">
        <w:rPr>
          <w:rFonts w:ascii="Times New Roman" w:hAnsi="Times New Roman" w:cs="Times New Roman"/>
        </w:rPr>
        <w:t>Comparing 15 multinational firms, this study finds administrative efficiency varies by employee demographics. Survey data indicate experience and gender shape perceptions, with implications for restructuring strategies.</w:t>
      </w:r>
    </w:p>
    <w:p w14:paraId="3C2CCD7A" w14:textId="3B3285C5"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Chen, Y., &amp; Wang, Q. (2021). </w:t>
      </w:r>
      <w:r w:rsidRPr="00ED036B">
        <w:rPr>
          <w:rFonts w:ascii="Times New Roman" w:hAnsi="Times New Roman" w:cs="Times New Roman"/>
        </w:rPr>
        <w:t>Chi-square applications in organizational research.</w:t>
      </w:r>
      <w:r w:rsidRPr="00ED036B">
        <w:rPr>
          <w:rFonts w:ascii="Times New Roman" w:hAnsi="Times New Roman" w:cs="Times New Roman"/>
          <w:b/>
          <w:bCs/>
        </w:rPr>
        <w:t xml:space="preserve"> </w:t>
      </w:r>
      <w:r w:rsidRPr="00ED036B">
        <w:rPr>
          <w:rFonts w:ascii="Times New Roman" w:hAnsi="Times New Roman" w:cs="Times New Roman"/>
        </w:rPr>
        <w:t xml:space="preserve"> This paper reviews chi-square use in organizational studies, analyzing 50 cases. It confirms its efficacy in detecting associations between categorical variables like age and efficiency perceptions, advocating its broader adoption.</w:t>
      </w:r>
    </w:p>
    <w:p w14:paraId="00FF9F37" w14:textId="09FD5E83"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Kumar, R., &amp; Sharma, P. (2019). </w:t>
      </w:r>
      <w:r w:rsidRPr="00ED036B">
        <w:rPr>
          <w:rFonts w:ascii="Times New Roman" w:hAnsi="Times New Roman" w:cs="Times New Roman"/>
        </w:rPr>
        <w:t>Reorganization and administrative efficiency in Indian public sectors.</w:t>
      </w:r>
      <w:r w:rsidRPr="00ED036B">
        <w:rPr>
          <w:rFonts w:ascii="Times New Roman" w:hAnsi="Times New Roman" w:cs="Times New Roman"/>
          <w:b/>
          <w:bCs/>
        </w:rPr>
        <w:t xml:space="preserve"> </w:t>
      </w:r>
      <w:r w:rsidRPr="00ED036B">
        <w:rPr>
          <w:rFonts w:ascii="Times New Roman" w:hAnsi="Times New Roman" w:cs="Times New Roman"/>
        </w:rPr>
        <w:t>This study of 300 public sector employees in India finds reorganization improves efficiency but varies by age and experience. Older employees resist, while younger ones adapt, per survey results.</w:t>
      </w:r>
    </w:p>
    <w:p w14:paraId="303D76AD" w14:textId="3BBBFC58"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Gupta, S., &amp; Singh, A. (2021). </w:t>
      </w:r>
      <w:r w:rsidRPr="00ED036B">
        <w:rPr>
          <w:rFonts w:ascii="Times New Roman" w:hAnsi="Times New Roman" w:cs="Times New Roman"/>
        </w:rPr>
        <w:t>Statistical analysis of organizational change in India.</w:t>
      </w:r>
      <w:r w:rsidRPr="00ED036B">
        <w:rPr>
          <w:rFonts w:ascii="Times New Roman" w:hAnsi="Times New Roman" w:cs="Times New Roman"/>
          <w:b/>
          <w:bCs/>
        </w:rPr>
        <w:t xml:space="preserve"> </w:t>
      </w:r>
      <w:r w:rsidRPr="00ED036B">
        <w:rPr>
          <w:rFonts w:ascii="Times New Roman" w:hAnsi="Times New Roman" w:cs="Times New Roman"/>
        </w:rPr>
        <w:t>Using chi-square on 400 employees, this research identifies significant links between gender and change perceptions in Indian firms, with females more supportive, enhancing efficiency outcomes.</w:t>
      </w:r>
    </w:p>
    <w:p w14:paraId="045421DD" w14:textId="4E369238"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Patel, N., &amp; Desai, K. (2018). </w:t>
      </w:r>
      <w:r w:rsidRPr="00ED036B">
        <w:rPr>
          <w:rFonts w:ascii="Times New Roman" w:hAnsi="Times New Roman" w:cs="Times New Roman"/>
        </w:rPr>
        <w:t>Age dynamics in Indian workplace restructuring.</w:t>
      </w:r>
      <w:r w:rsidRPr="00ED036B">
        <w:rPr>
          <w:rFonts w:ascii="Times New Roman" w:hAnsi="Times New Roman" w:cs="Times New Roman"/>
          <w:b/>
          <w:bCs/>
        </w:rPr>
        <w:t xml:space="preserve"> </w:t>
      </w:r>
      <w:r w:rsidRPr="00ED036B">
        <w:rPr>
          <w:rFonts w:ascii="Times New Roman" w:hAnsi="Times New Roman" w:cs="Times New Roman"/>
        </w:rPr>
        <w:t>Surveying 250 Indian employees, this study shows younger workers (under 30) favor restructuring, while those over 40 resist, impacting administrative efficiency variably.</w:t>
      </w:r>
    </w:p>
    <w:p w14:paraId="688508EA" w14:textId="388C7755"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Singh, V., &amp; Verma, R. (2020). </w:t>
      </w:r>
      <w:r w:rsidRPr="00ED036B">
        <w:rPr>
          <w:rFonts w:ascii="Times New Roman" w:hAnsi="Times New Roman" w:cs="Times New Roman"/>
        </w:rPr>
        <w:t>Experience and organizational change: An Indian perspective.</w:t>
      </w:r>
      <w:r w:rsidRPr="00ED036B">
        <w:rPr>
          <w:rFonts w:ascii="Times New Roman" w:hAnsi="Times New Roman" w:cs="Times New Roman"/>
          <w:b/>
          <w:bCs/>
        </w:rPr>
        <w:t xml:space="preserve"> </w:t>
      </w:r>
      <w:r w:rsidRPr="00ED036B">
        <w:rPr>
          <w:rFonts w:ascii="Times New Roman" w:hAnsi="Times New Roman" w:cs="Times New Roman"/>
        </w:rPr>
        <w:t>This analysis of 350 employees finds long-tenured staff resist reorganization, reducing efficiency gains, while newer employees support it, based on qualitative and quantitative data.</w:t>
      </w:r>
    </w:p>
    <w:p w14:paraId="5D41403A" w14:textId="5A3BC5DA"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Jain, P., &amp; Rao, S. (2017). </w:t>
      </w:r>
      <w:r w:rsidRPr="00ED036B">
        <w:rPr>
          <w:rFonts w:ascii="Times New Roman" w:hAnsi="Times New Roman" w:cs="Times New Roman"/>
        </w:rPr>
        <w:t>Administrative reforms in Indian education sector. Examining 200 academic staff, this study finds reorganization’s</w:t>
      </w:r>
      <w:r w:rsidR="000A4002">
        <w:rPr>
          <w:rFonts w:ascii="Times New Roman" w:hAnsi="Times New Roman" w:cs="Times New Roman"/>
        </w:rPr>
        <w:t xml:space="preserve"> e</w:t>
      </w:r>
      <w:r w:rsidRPr="00ED036B">
        <w:rPr>
          <w:rFonts w:ascii="Times New Roman" w:hAnsi="Times New Roman" w:cs="Times New Roman"/>
        </w:rPr>
        <w:t>fficiency impact varies by gender and experience, with females and less experienced staff reporting higher satisfaction.</w:t>
      </w:r>
    </w:p>
    <w:p w14:paraId="2B49E1EA"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Objective</w:t>
      </w:r>
    </w:p>
    <w:p w14:paraId="4C6C969D" w14:textId="28C96F1F"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To examine the association between age, gender, and years of experience and perceptions of improved administrative efficiency reorganization.</w:t>
      </w:r>
    </w:p>
    <w:p w14:paraId="4C3B9399" w14:textId="77777777" w:rsidR="00021670" w:rsidRDefault="00021670" w:rsidP="00156865">
      <w:pPr>
        <w:spacing w:line="360" w:lineRule="auto"/>
        <w:jc w:val="both"/>
        <w:rPr>
          <w:rFonts w:ascii="Times New Roman" w:hAnsi="Times New Roman" w:cs="Times New Roman"/>
          <w:b/>
          <w:bCs/>
        </w:rPr>
      </w:pPr>
    </w:p>
    <w:p w14:paraId="48D163F8" w14:textId="77777777" w:rsidR="00021670" w:rsidRDefault="00021670" w:rsidP="00156865">
      <w:pPr>
        <w:spacing w:line="360" w:lineRule="auto"/>
        <w:jc w:val="both"/>
        <w:rPr>
          <w:rFonts w:ascii="Times New Roman" w:hAnsi="Times New Roman" w:cs="Times New Roman"/>
          <w:b/>
          <w:bCs/>
        </w:rPr>
      </w:pPr>
    </w:p>
    <w:p w14:paraId="7CDADF3F" w14:textId="249A26DB"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lastRenderedPageBreak/>
        <w:t>Methodology</w:t>
      </w:r>
    </w:p>
    <w:p w14:paraId="73B36866"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Data were collected from 44 employees in a single department via a survey asking, "Has reorganization improved administrative efficiency in your department?" Responses were categorized as Disagree, Neutral, Agree, or Strongly Agree. Independent variables were age (18-30, 31-40, &gt;40 years), gender (male, female), and years of experience (1-10, 11-20, &gt;20). Chi-square tests assessed associations, with significance set at p &lt; .05.</w:t>
      </w:r>
    </w:p>
    <w:p w14:paraId="44B8FC47" w14:textId="46C561EF" w:rsid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Results</w:t>
      </w:r>
    </w:p>
    <w:p w14:paraId="0F3C4EAE" w14:textId="508785F5" w:rsidR="00090A1E" w:rsidRPr="00090A1E" w:rsidRDefault="00090A1E" w:rsidP="00156865">
      <w:pPr>
        <w:spacing w:line="360" w:lineRule="auto"/>
        <w:jc w:val="both"/>
        <w:rPr>
          <w:rFonts w:ascii="Times New Roman" w:hAnsi="Times New Roman" w:cs="Times New Roman"/>
          <w:b/>
          <w:bCs/>
          <w:i/>
          <w:iCs/>
        </w:rPr>
      </w:pPr>
      <w:r w:rsidRPr="00F87AAF">
        <w:rPr>
          <w:rFonts w:ascii="Times New Roman" w:hAnsi="Times New Roman" w:cs="Times New Roman"/>
          <w:i/>
          <w:iCs/>
        </w:rPr>
        <w:t>The table displays the relationship between the age of the respondents and their perception</w:t>
      </w:r>
      <w:r w:rsidRPr="00090A1E">
        <w:rPr>
          <w:rFonts w:ascii="Times New Roman" w:hAnsi="Times New Roman" w:cs="Times New Roman"/>
          <w:i/>
          <w:iCs/>
        </w:rPr>
        <w:t xml:space="preserve"> </w:t>
      </w:r>
      <w:r w:rsidRPr="00F87AAF">
        <w:rPr>
          <w:rFonts w:ascii="Times New Roman" w:hAnsi="Times New Roman" w:cs="Times New Roman"/>
          <w:i/>
          <w:iCs/>
        </w:rPr>
        <w:t xml:space="preserve">of whether the district reorganization improved administrative efficiency. </w:t>
      </w:r>
      <w:r w:rsidRPr="00090A1E">
        <w:rPr>
          <w:rFonts w:ascii="Times New Roman" w:hAnsi="Times New Roman" w:cs="Times New Roman"/>
          <w:i/>
          <w:iCs/>
        </w:rPr>
        <w:t xml:space="preserve"> </w:t>
      </w:r>
    </w:p>
    <w:tbl>
      <w:tblPr>
        <w:tblStyle w:val="GridTable5Dark-Accent5"/>
        <w:tblW w:w="0" w:type="auto"/>
        <w:tblLook w:val="0000" w:firstRow="0" w:lastRow="0" w:firstColumn="0" w:lastColumn="0" w:noHBand="0" w:noVBand="0"/>
      </w:tblPr>
      <w:tblGrid>
        <w:gridCol w:w="223"/>
        <w:gridCol w:w="1119"/>
        <w:gridCol w:w="1271"/>
        <w:gridCol w:w="1113"/>
        <w:gridCol w:w="955"/>
        <w:gridCol w:w="1541"/>
        <w:gridCol w:w="706"/>
        <w:gridCol w:w="948"/>
        <w:gridCol w:w="442"/>
        <w:gridCol w:w="698"/>
      </w:tblGrid>
      <w:tr w:rsidR="00DA42E1" w:rsidRPr="002E54EC" w14:paraId="5F8970A2"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617660A4"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Age</w:t>
            </w:r>
          </w:p>
        </w:tc>
        <w:tc>
          <w:tcPr>
            <w:tcW w:w="0" w:type="auto"/>
            <w:gridSpan w:val="4"/>
          </w:tcPr>
          <w:p w14:paraId="15666240"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13D3EF98"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Total</w:t>
            </w:r>
          </w:p>
        </w:tc>
        <w:tc>
          <w:tcPr>
            <w:tcW w:w="0" w:type="auto"/>
          </w:tcPr>
          <w:p w14:paraId="449B527D"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gridSpan w:val="2"/>
          </w:tcPr>
          <w:p w14:paraId="15B86F10"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Chi-Square</w:t>
            </w:r>
          </w:p>
        </w:tc>
      </w:tr>
      <w:tr w:rsidR="0064140F" w:rsidRPr="002E54EC" w14:paraId="115D1D8C"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vMerge/>
          </w:tcPr>
          <w:p w14:paraId="36B2DD0E" w14:textId="77777777" w:rsidR="0064140F" w:rsidRPr="00D26909" w:rsidRDefault="0064140F" w:rsidP="00401D72">
            <w:pPr>
              <w:jc w:val="both"/>
              <w:rPr>
                <w:rFonts w:ascii="Times New Roman" w:hAnsi="Times New Roman" w:cs="Times New Roman"/>
              </w:rPr>
            </w:pPr>
          </w:p>
        </w:tc>
        <w:tc>
          <w:tcPr>
            <w:tcW w:w="0" w:type="auto"/>
          </w:tcPr>
          <w:p w14:paraId="06D732A3"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08BE54C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Neutral</w:t>
            </w:r>
          </w:p>
        </w:tc>
        <w:tc>
          <w:tcPr>
            <w:tcW w:w="0" w:type="auto"/>
          </w:tcPr>
          <w:p w14:paraId="08C84884"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0692B617"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4560446E"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tcPr>
          <w:p w14:paraId="192E1305"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Value</w:t>
            </w:r>
          </w:p>
        </w:tc>
        <w:tc>
          <w:tcPr>
            <w:tcW w:w="0" w:type="auto"/>
          </w:tcPr>
          <w:p w14:paraId="179C5F3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54EC">
              <w:rPr>
                <w:rFonts w:ascii="Times New Roman" w:hAnsi="Times New Roman" w:cs="Times New Roman"/>
              </w:rPr>
              <w:t>df</w:t>
            </w:r>
          </w:p>
        </w:tc>
        <w:tc>
          <w:tcPr>
            <w:cnfStyle w:val="000010000000" w:firstRow="0" w:lastRow="0" w:firstColumn="0" w:lastColumn="0" w:oddVBand="1" w:evenVBand="0" w:oddHBand="0" w:evenHBand="0" w:firstRowFirstColumn="0" w:firstRowLastColumn="0" w:lastRowFirstColumn="0" w:lastRowLastColumn="0"/>
            <w:tcW w:w="0" w:type="auto"/>
          </w:tcPr>
          <w:p w14:paraId="64FE7861"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Sign</w:t>
            </w:r>
          </w:p>
        </w:tc>
      </w:tr>
      <w:tr w:rsidR="00DA42E1" w:rsidRPr="002E54EC" w14:paraId="1A4A9D68"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3C434473" w14:textId="77777777" w:rsidR="0064140F" w:rsidRPr="00D26909" w:rsidRDefault="0064140F" w:rsidP="00401D72">
            <w:pPr>
              <w:jc w:val="both"/>
              <w:rPr>
                <w:rFonts w:ascii="Times New Roman" w:hAnsi="Times New Roman" w:cs="Times New Roman"/>
              </w:rPr>
            </w:pPr>
          </w:p>
        </w:tc>
        <w:tc>
          <w:tcPr>
            <w:tcW w:w="0" w:type="auto"/>
          </w:tcPr>
          <w:p w14:paraId="7BA5B947"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18-30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1FC1E044"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6BC553C3"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0C2B4F7D"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4951465"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163C6A6B"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6</w:t>
            </w:r>
          </w:p>
        </w:tc>
        <w:tc>
          <w:tcPr>
            <w:tcW w:w="0" w:type="auto"/>
            <w:vMerge w:val="restart"/>
          </w:tcPr>
          <w:p w14:paraId="26CB4AF0"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75.398</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60069847"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6</w:t>
            </w:r>
          </w:p>
        </w:tc>
        <w:tc>
          <w:tcPr>
            <w:tcW w:w="0" w:type="auto"/>
            <w:vMerge w:val="restart"/>
          </w:tcPr>
          <w:p w14:paraId="780CB362"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DA42E1" w:rsidRPr="002E54EC" w14:paraId="2AA67D7A" w14:textId="77777777" w:rsidTr="00DA42E1">
        <w:tc>
          <w:tcPr>
            <w:cnfStyle w:val="000010000000" w:firstRow="0" w:lastRow="0" w:firstColumn="0" w:lastColumn="0" w:oddVBand="1" w:evenVBand="0" w:oddHBand="0" w:evenHBand="0" w:firstRowFirstColumn="0" w:firstRowLastColumn="0" w:lastRowFirstColumn="0" w:lastRowLastColumn="0"/>
            <w:tcW w:w="0" w:type="auto"/>
            <w:vMerge/>
          </w:tcPr>
          <w:p w14:paraId="3B855A5A" w14:textId="77777777" w:rsidR="0064140F" w:rsidRPr="00D26909" w:rsidRDefault="0064140F" w:rsidP="00401D72">
            <w:pPr>
              <w:jc w:val="both"/>
              <w:rPr>
                <w:rFonts w:ascii="Times New Roman" w:hAnsi="Times New Roman" w:cs="Times New Roman"/>
              </w:rPr>
            </w:pPr>
          </w:p>
        </w:tc>
        <w:tc>
          <w:tcPr>
            <w:tcW w:w="0" w:type="auto"/>
          </w:tcPr>
          <w:p w14:paraId="05E7F1AF"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31-40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2E2F88E3"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0A33CC9"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415FE06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15</w:t>
            </w:r>
          </w:p>
        </w:tc>
        <w:tc>
          <w:tcPr>
            <w:tcW w:w="0" w:type="auto"/>
          </w:tcPr>
          <w:p w14:paraId="1631CE14"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0FBBA13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17</w:t>
            </w:r>
          </w:p>
        </w:tc>
        <w:tc>
          <w:tcPr>
            <w:tcW w:w="0" w:type="auto"/>
            <w:vMerge/>
          </w:tcPr>
          <w:p w14:paraId="2C25A868"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3BBA724D" w14:textId="77777777" w:rsidR="0064140F" w:rsidRPr="002E54EC" w:rsidRDefault="0064140F" w:rsidP="00401D72">
            <w:pPr>
              <w:jc w:val="both"/>
              <w:rPr>
                <w:rFonts w:ascii="Times New Roman" w:hAnsi="Times New Roman" w:cs="Times New Roman"/>
              </w:rPr>
            </w:pPr>
          </w:p>
        </w:tc>
        <w:tc>
          <w:tcPr>
            <w:tcW w:w="0" w:type="auto"/>
            <w:vMerge/>
          </w:tcPr>
          <w:p w14:paraId="7ABFC99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A42E1" w:rsidRPr="002E54EC" w14:paraId="48CDFDE1"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tcPr>
          <w:p w14:paraId="50288B75" w14:textId="77777777" w:rsidR="0064140F" w:rsidRPr="00D26909" w:rsidRDefault="0064140F" w:rsidP="00401D72">
            <w:pPr>
              <w:jc w:val="both"/>
              <w:rPr>
                <w:rFonts w:ascii="Times New Roman" w:hAnsi="Times New Roman" w:cs="Times New Roman"/>
              </w:rPr>
            </w:pPr>
          </w:p>
        </w:tc>
        <w:tc>
          <w:tcPr>
            <w:tcW w:w="0" w:type="auto"/>
          </w:tcPr>
          <w:p w14:paraId="3E7AF50D"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More than 40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0E17BCA2"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14</w:t>
            </w:r>
          </w:p>
        </w:tc>
        <w:tc>
          <w:tcPr>
            <w:tcW w:w="0" w:type="auto"/>
          </w:tcPr>
          <w:p w14:paraId="3FAC3C36"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4D8EC7A5"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98DF196"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5579EFDE"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21</w:t>
            </w:r>
          </w:p>
        </w:tc>
        <w:tc>
          <w:tcPr>
            <w:tcW w:w="0" w:type="auto"/>
            <w:vMerge/>
          </w:tcPr>
          <w:p w14:paraId="41F3F289"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46AC5845" w14:textId="77777777" w:rsidR="0064140F" w:rsidRPr="002E54EC" w:rsidRDefault="0064140F" w:rsidP="00401D72">
            <w:pPr>
              <w:jc w:val="both"/>
              <w:rPr>
                <w:rFonts w:ascii="Times New Roman" w:hAnsi="Times New Roman" w:cs="Times New Roman"/>
              </w:rPr>
            </w:pPr>
          </w:p>
        </w:tc>
        <w:tc>
          <w:tcPr>
            <w:tcW w:w="0" w:type="auto"/>
            <w:vMerge/>
          </w:tcPr>
          <w:p w14:paraId="5CC33B7C"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A42E1" w:rsidRPr="002E54EC" w14:paraId="0C91B3DD"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tcPr>
          <w:p w14:paraId="219187EB"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Total</w:t>
            </w:r>
          </w:p>
        </w:tc>
        <w:tc>
          <w:tcPr>
            <w:tcW w:w="0" w:type="auto"/>
          </w:tcPr>
          <w:p w14:paraId="6717FA6A"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1DEEAF9E"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8</w:t>
            </w:r>
          </w:p>
        </w:tc>
        <w:tc>
          <w:tcPr>
            <w:tcW w:w="0" w:type="auto"/>
          </w:tcPr>
          <w:p w14:paraId="68D40495"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28C0AD35"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7</w:t>
            </w:r>
          </w:p>
        </w:tc>
        <w:tc>
          <w:tcPr>
            <w:tcW w:w="0" w:type="auto"/>
          </w:tcPr>
          <w:p w14:paraId="02C1A55F"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0" w:type="auto"/>
            <w:vMerge/>
          </w:tcPr>
          <w:p w14:paraId="59F1DC31" w14:textId="77777777" w:rsidR="0064140F" w:rsidRPr="002E54EC" w:rsidRDefault="0064140F" w:rsidP="00401D72">
            <w:pPr>
              <w:jc w:val="both"/>
              <w:rPr>
                <w:rFonts w:ascii="Times New Roman" w:hAnsi="Times New Roman" w:cs="Times New Roman"/>
              </w:rPr>
            </w:pPr>
          </w:p>
        </w:tc>
        <w:tc>
          <w:tcPr>
            <w:tcW w:w="0" w:type="auto"/>
            <w:vMerge/>
          </w:tcPr>
          <w:p w14:paraId="2E9923D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44019A85" w14:textId="77777777" w:rsidR="0064140F" w:rsidRPr="002E54EC" w:rsidRDefault="0064140F" w:rsidP="00401D72">
            <w:pPr>
              <w:jc w:val="both"/>
              <w:rPr>
                <w:rFonts w:ascii="Times New Roman" w:hAnsi="Times New Roman" w:cs="Times New Roman"/>
              </w:rPr>
            </w:pPr>
          </w:p>
        </w:tc>
      </w:tr>
    </w:tbl>
    <w:p w14:paraId="4CADED11"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noProof/>
        </w:rPr>
        <w:drawing>
          <wp:inline distT="0" distB="0" distL="0" distR="0" wp14:anchorId="7298C70E" wp14:editId="55897AB0">
            <wp:extent cx="5731510" cy="2545080"/>
            <wp:effectExtent l="0" t="0" r="2540" b="7620"/>
            <wp:docPr id="78996255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476C7F77" w14:textId="77777777" w:rsidR="0064140F" w:rsidRDefault="0064140F" w:rsidP="0064140F">
      <w:pPr>
        <w:spacing w:line="360" w:lineRule="auto"/>
        <w:jc w:val="both"/>
        <w:rPr>
          <w:rFonts w:ascii="Times New Roman" w:hAnsi="Times New Roman" w:cs="Times New Roman"/>
        </w:rPr>
      </w:pPr>
      <w:r w:rsidRPr="00F87AAF">
        <w:rPr>
          <w:rFonts w:ascii="Times New Roman" w:hAnsi="Times New Roman" w:cs="Times New Roman"/>
        </w:rPr>
        <w:t xml:space="preserve">The table displays the relationship between the age of the respondents and their perception of whether the district reorganization improved administrative efficiency. </w:t>
      </w:r>
      <w:r>
        <w:rPr>
          <w:rFonts w:ascii="Times New Roman" w:hAnsi="Times New Roman" w:cs="Times New Roman"/>
        </w:rPr>
        <w:t xml:space="preserve"> </w:t>
      </w:r>
      <w:r w:rsidRPr="00F87AAF">
        <w:rPr>
          <w:rFonts w:ascii="Times New Roman" w:hAnsi="Times New Roman" w:cs="Times New Roman"/>
        </w:rPr>
        <w:t xml:space="preserve">Respondents aged 18-30 years overwhelmingly strongly agreed (6 out of 6) that efficiency improved. Respondents aged 31-40 years primarily agreed (15 out of 17) with the improvement, with one neutral and </w:t>
      </w:r>
      <w:r w:rsidRPr="00F87AAF">
        <w:rPr>
          <w:rFonts w:ascii="Times New Roman" w:hAnsi="Times New Roman" w:cs="Times New Roman"/>
        </w:rPr>
        <w:lastRenderedPageBreak/>
        <w:t xml:space="preserve">one strongly agreeing. Respondents aged more than 40 years largely disagreed (14 out of 21) or were neutral (7 out of 21), indicating a negative perception. </w:t>
      </w:r>
    </w:p>
    <w:p w14:paraId="263DE431" w14:textId="0A919DC5" w:rsidR="000C1627" w:rsidRPr="00ED036B" w:rsidRDefault="000C1627" w:rsidP="00AB3126">
      <w:pPr>
        <w:spacing w:line="360" w:lineRule="auto"/>
        <w:jc w:val="both"/>
        <w:rPr>
          <w:rFonts w:ascii="Times New Roman" w:hAnsi="Times New Roman" w:cs="Times New Roman"/>
        </w:rPr>
      </w:pPr>
      <w:r w:rsidRPr="00ED036B">
        <w:rPr>
          <w:rFonts w:ascii="Times New Roman" w:hAnsi="Times New Roman" w:cs="Times New Roman"/>
        </w:rPr>
        <w:t>χ² = 75.398, df = 6, p = .000. All 18-30-year-olds agreed/strongly agreed (6/6), 31-40-year-olds mostly agreed (15/17), and &gt;40-year-olds mostly disagreed (14/21).</w:t>
      </w:r>
    </w:p>
    <w:p w14:paraId="21C790C9" w14:textId="7D3902E8" w:rsidR="00E8191A" w:rsidRPr="00E8191A" w:rsidRDefault="00E8191A" w:rsidP="0064140F">
      <w:pPr>
        <w:spacing w:line="360" w:lineRule="auto"/>
        <w:jc w:val="both"/>
        <w:rPr>
          <w:rFonts w:ascii="Times New Roman" w:hAnsi="Times New Roman" w:cs="Times New Roman"/>
        </w:rPr>
      </w:pPr>
      <w:r w:rsidRPr="00E8191A">
        <w:rPr>
          <w:rFonts w:ascii="Times New Roman" w:hAnsi="Times New Roman" w:cs="Times New Roman"/>
        </w:rPr>
        <w:t>"Age significantly affected perceptions of administrative efficiency post-reorganization, with younger respondents reporting positive outcomes and older respondents largely disagreeing. This indicates a strong inverse relationship between age and perceived improvement."</w:t>
      </w:r>
    </w:p>
    <w:p w14:paraId="716CB65B" w14:textId="3A1382E7" w:rsidR="0064140F" w:rsidRPr="00D26909" w:rsidRDefault="00090A1E" w:rsidP="0064140F">
      <w:pPr>
        <w:spacing w:line="360" w:lineRule="auto"/>
        <w:jc w:val="both"/>
        <w:rPr>
          <w:rFonts w:ascii="Times New Roman" w:hAnsi="Times New Roman" w:cs="Times New Roman"/>
          <w:b/>
          <w:bCs/>
          <w:i/>
          <w:iCs/>
        </w:rPr>
      </w:pPr>
      <w:r w:rsidRPr="00DD41C0">
        <w:rPr>
          <w:rFonts w:ascii="Times New Roman" w:hAnsi="Times New Roman" w:cs="Times New Roman"/>
          <w:i/>
          <w:iCs/>
        </w:rPr>
        <w:t>This table shows the relationship between the gender of the respondents and their perception of improved administrative efficiency.</w:t>
      </w:r>
    </w:p>
    <w:tbl>
      <w:tblPr>
        <w:tblStyle w:val="GridTable5Dark-Accent1"/>
        <w:tblW w:w="0" w:type="auto"/>
        <w:tblLook w:val="0000" w:firstRow="0" w:lastRow="0" w:firstColumn="0" w:lastColumn="0" w:noHBand="0" w:noVBand="0"/>
      </w:tblPr>
      <w:tblGrid>
        <w:gridCol w:w="222"/>
        <w:gridCol w:w="923"/>
        <w:gridCol w:w="1323"/>
        <w:gridCol w:w="1159"/>
        <w:gridCol w:w="994"/>
        <w:gridCol w:w="1668"/>
        <w:gridCol w:w="706"/>
        <w:gridCol w:w="948"/>
        <w:gridCol w:w="416"/>
        <w:gridCol w:w="657"/>
      </w:tblGrid>
      <w:tr w:rsidR="0064140F" w:rsidRPr="002E54EC" w14:paraId="0E45F813"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729CB7E4"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Gender</w:t>
            </w:r>
          </w:p>
        </w:tc>
        <w:tc>
          <w:tcPr>
            <w:tcW w:w="0" w:type="auto"/>
            <w:gridSpan w:val="4"/>
          </w:tcPr>
          <w:p w14:paraId="0147A95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3537CCF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gridSpan w:val="3"/>
          </w:tcPr>
          <w:p w14:paraId="38BEE438"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54EC">
              <w:rPr>
                <w:rFonts w:ascii="Times New Roman" w:hAnsi="Times New Roman" w:cs="Times New Roman"/>
              </w:rPr>
              <w:t>Chi-Square</w:t>
            </w:r>
          </w:p>
        </w:tc>
      </w:tr>
      <w:tr w:rsidR="0064140F" w:rsidRPr="002E54EC" w14:paraId="709F6C7D"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vMerge/>
          </w:tcPr>
          <w:p w14:paraId="2D4AA3DB" w14:textId="77777777" w:rsidR="0064140F" w:rsidRPr="00D26909" w:rsidRDefault="0064140F" w:rsidP="00401D72">
            <w:pPr>
              <w:spacing w:line="276" w:lineRule="auto"/>
              <w:jc w:val="both"/>
              <w:rPr>
                <w:rFonts w:ascii="Times New Roman" w:hAnsi="Times New Roman" w:cs="Times New Roman"/>
              </w:rPr>
            </w:pPr>
          </w:p>
        </w:tc>
        <w:tc>
          <w:tcPr>
            <w:tcW w:w="0" w:type="auto"/>
          </w:tcPr>
          <w:p w14:paraId="237CCFD1"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063D54C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Neutral</w:t>
            </w:r>
          </w:p>
        </w:tc>
        <w:tc>
          <w:tcPr>
            <w:tcW w:w="0" w:type="auto"/>
          </w:tcPr>
          <w:p w14:paraId="79EB0812"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48A1A54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7C4F8A75"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948" w:type="dxa"/>
          </w:tcPr>
          <w:p w14:paraId="127FA4A4"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Value</w:t>
            </w:r>
          </w:p>
        </w:tc>
        <w:tc>
          <w:tcPr>
            <w:tcW w:w="416" w:type="dxa"/>
          </w:tcPr>
          <w:p w14:paraId="45DBDE0D"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df</w:t>
            </w:r>
          </w:p>
        </w:tc>
        <w:tc>
          <w:tcPr>
            <w:cnfStyle w:val="000010000000" w:firstRow="0" w:lastRow="0" w:firstColumn="0" w:lastColumn="0" w:oddVBand="1" w:evenVBand="0" w:oddHBand="0" w:evenHBand="0" w:firstRowFirstColumn="0" w:firstRowLastColumn="0" w:lastRowFirstColumn="0" w:lastRowLastColumn="0"/>
            <w:tcW w:w="657" w:type="dxa"/>
          </w:tcPr>
          <w:p w14:paraId="1EE2749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Sign</w:t>
            </w:r>
          </w:p>
        </w:tc>
      </w:tr>
      <w:tr w:rsidR="0064140F" w:rsidRPr="002E54EC" w14:paraId="63EB5DE0"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2F11FAFC" w14:textId="77777777" w:rsidR="0064140F" w:rsidRPr="00D26909" w:rsidRDefault="0064140F" w:rsidP="00401D72">
            <w:pPr>
              <w:spacing w:line="276" w:lineRule="auto"/>
              <w:jc w:val="both"/>
              <w:rPr>
                <w:rFonts w:ascii="Times New Roman" w:hAnsi="Times New Roman" w:cs="Times New Roman"/>
              </w:rPr>
            </w:pPr>
          </w:p>
        </w:tc>
        <w:tc>
          <w:tcPr>
            <w:tcW w:w="0" w:type="auto"/>
          </w:tcPr>
          <w:p w14:paraId="5FD66DE3"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Male</w:t>
            </w:r>
          </w:p>
        </w:tc>
        <w:tc>
          <w:tcPr>
            <w:cnfStyle w:val="000010000000" w:firstRow="0" w:lastRow="0" w:firstColumn="0" w:lastColumn="0" w:oddVBand="1" w:evenVBand="0" w:oddHBand="0" w:evenHBand="0" w:firstRowFirstColumn="0" w:firstRowLastColumn="0" w:lastRowFirstColumn="0" w:lastRowLastColumn="0"/>
            <w:tcW w:w="0" w:type="auto"/>
          </w:tcPr>
          <w:p w14:paraId="40427D39"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0" w:type="auto"/>
          </w:tcPr>
          <w:p w14:paraId="51CAD2CA"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6D057C7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w:t>
            </w:r>
          </w:p>
        </w:tc>
        <w:tc>
          <w:tcPr>
            <w:tcW w:w="0" w:type="auto"/>
          </w:tcPr>
          <w:p w14:paraId="0685402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40FA8D9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22</w:t>
            </w:r>
          </w:p>
        </w:tc>
        <w:tc>
          <w:tcPr>
            <w:tcW w:w="948" w:type="dxa"/>
          </w:tcPr>
          <w:p w14:paraId="671735B1"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36.767</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416" w:type="dxa"/>
          </w:tcPr>
          <w:p w14:paraId="0073C4F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3</w:t>
            </w:r>
          </w:p>
        </w:tc>
        <w:tc>
          <w:tcPr>
            <w:tcW w:w="657" w:type="dxa"/>
          </w:tcPr>
          <w:p w14:paraId="7457B5EE"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64140F" w:rsidRPr="002E54EC" w14:paraId="12DE7F6C" w14:textId="77777777" w:rsidTr="00DA42E1">
        <w:tc>
          <w:tcPr>
            <w:cnfStyle w:val="000010000000" w:firstRow="0" w:lastRow="0" w:firstColumn="0" w:lastColumn="0" w:oddVBand="1" w:evenVBand="0" w:oddHBand="0" w:evenHBand="0" w:firstRowFirstColumn="0" w:firstRowLastColumn="0" w:lastRowFirstColumn="0" w:lastRowLastColumn="0"/>
            <w:tcW w:w="0" w:type="auto"/>
            <w:vMerge/>
          </w:tcPr>
          <w:p w14:paraId="577D4DD7" w14:textId="77777777" w:rsidR="0064140F" w:rsidRPr="00D26909" w:rsidRDefault="0064140F" w:rsidP="00401D72">
            <w:pPr>
              <w:spacing w:line="276" w:lineRule="auto"/>
              <w:jc w:val="both"/>
              <w:rPr>
                <w:rFonts w:ascii="Times New Roman" w:hAnsi="Times New Roman" w:cs="Times New Roman"/>
              </w:rPr>
            </w:pPr>
          </w:p>
        </w:tc>
        <w:tc>
          <w:tcPr>
            <w:tcW w:w="0" w:type="auto"/>
          </w:tcPr>
          <w:p w14:paraId="7D20076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Female</w:t>
            </w:r>
          </w:p>
        </w:tc>
        <w:tc>
          <w:tcPr>
            <w:cnfStyle w:val="000010000000" w:firstRow="0" w:lastRow="0" w:firstColumn="0" w:lastColumn="0" w:oddVBand="1" w:evenVBand="0" w:oddHBand="0" w:evenHBand="0" w:firstRowFirstColumn="0" w:firstRowLastColumn="0" w:lastRowFirstColumn="0" w:lastRowLastColumn="0"/>
            <w:tcW w:w="0" w:type="auto"/>
          </w:tcPr>
          <w:p w14:paraId="50C99DA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61B25E18"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12D0A8AC"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0" w:type="auto"/>
          </w:tcPr>
          <w:p w14:paraId="69E37BD0"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5711D6A5"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22</w:t>
            </w:r>
          </w:p>
        </w:tc>
        <w:tc>
          <w:tcPr>
            <w:tcW w:w="948" w:type="dxa"/>
          </w:tcPr>
          <w:p w14:paraId="626449FC"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tcPr>
          <w:p w14:paraId="3C7744C7" w14:textId="77777777" w:rsidR="0064140F" w:rsidRPr="002E54EC" w:rsidRDefault="0064140F" w:rsidP="00401D72">
            <w:pPr>
              <w:spacing w:line="276" w:lineRule="auto"/>
              <w:jc w:val="both"/>
              <w:rPr>
                <w:rFonts w:ascii="Times New Roman" w:hAnsi="Times New Roman" w:cs="Times New Roman"/>
              </w:rPr>
            </w:pPr>
          </w:p>
        </w:tc>
        <w:tc>
          <w:tcPr>
            <w:tcW w:w="657" w:type="dxa"/>
          </w:tcPr>
          <w:p w14:paraId="46966647"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4140F" w:rsidRPr="002E54EC" w14:paraId="2F130421"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tcPr>
          <w:p w14:paraId="7CCB0C9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tcPr>
          <w:p w14:paraId="14AF5CE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268B74DD"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8</w:t>
            </w:r>
          </w:p>
        </w:tc>
        <w:tc>
          <w:tcPr>
            <w:tcW w:w="0" w:type="auto"/>
          </w:tcPr>
          <w:p w14:paraId="4F0F1A8D"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117A6C04"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208E924C"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948" w:type="dxa"/>
          </w:tcPr>
          <w:p w14:paraId="188F33F8" w14:textId="77777777" w:rsidR="0064140F" w:rsidRPr="002E54EC" w:rsidRDefault="0064140F" w:rsidP="00401D72">
            <w:pPr>
              <w:spacing w:line="276" w:lineRule="auto"/>
              <w:jc w:val="both"/>
              <w:rPr>
                <w:rFonts w:ascii="Times New Roman" w:hAnsi="Times New Roman" w:cs="Times New Roman"/>
              </w:rPr>
            </w:pPr>
          </w:p>
        </w:tc>
        <w:tc>
          <w:tcPr>
            <w:tcW w:w="416" w:type="dxa"/>
          </w:tcPr>
          <w:p w14:paraId="48C97A13"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657" w:type="dxa"/>
          </w:tcPr>
          <w:p w14:paraId="745D0197" w14:textId="77777777" w:rsidR="0064140F" w:rsidRPr="002E54EC" w:rsidRDefault="0064140F" w:rsidP="00401D72">
            <w:pPr>
              <w:spacing w:line="276" w:lineRule="auto"/>
              <w:jc w:val="both"/>
              <w:rPr>
                <w:rFonts w:ascii="Times New Roman" w:hAnsi="Times New Roman" w:cs="Times New Roman"/>
              </w:rPr>
            </w:pPr>
          </w:p>
        </w:tc>
      </w:tr>
    </w:tbl>
    <w:p w14:paraId="07922CA6" w14:textId="77777777" w:rsidR="0064140F" w:rsidRPr="00D26909" w:rsidRDefault="0064140F" w:rsidP="0064140F">
      <w:pPr>
        <w:spacing w:line="360" w:lineRule="auto"/>
        <w:jc w:val="both"/>
        <w:rPr>
          <w:rFonts w:ascii="Times New Roman" w:hAnsi="Times New Roman" w:cs="Times New Roman"/>
        </w:rPr>
      </w:pPr>
    </w:p>
    <w:p w14:paraId="0DC79ACC"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noProof/>
        </w:rPr>
        <w:drawing>
          <wp:inline distT="0" distB="0" distL="0" distR="0" wp14:anchorId="675508CD" wp14:editId="470F1529">
            <wp:extent cx="5731510" cy="2240280"/>
            <wp:effectExtent l="0" t="0" r="2540" b="7620"/>
            <wp:docPr id="138209195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40280"/>
                    </a:xfrm>
                    <a:prstGeom prst="rect">
                      <a:avLst/>
                    </a:prstGeom>
                    <a:noFill/>
                    <a:ln>
                      <a:noFill/>
                    </a:ln>
                  </pic:spPr>
                </pic:pic>
              </a:graphicData>
            </a:graphic>
          </wp:inline>
        </w:drawing>
      </w:r>
    </w:p>
    <w:p w14:paraId="3D8A4A51" w14:textId="77777777" w:rsidR="0064140F" w:rsidRDefault="0064140F" w:rsidP="0064140F">
      <w:pPr>
        <w:spacing w:line="360" w:lineRule="auto"/>
        <w:jc w:val="both"/>
        <w:rPr>
          <w:rFonts w:ascii="Times New Roman" w:hAnsi="Times New Roman" w:cs="Times New Roman"/>
        </w:rPr>
      </w:pPr>
      <w:r w:rsidRPr="00DD41C0">
        <w:rPr>
          <w:rFonts w:ascii="Times New Roman" w:hAnsi="Times New Roman" w:cs="Times New Roman"/>
        </w:rPr>
        <w:t xml:space="preserve">This table shows the relationship between the gender of the respondents and their perception of improved administrative efficiency. Male respondents predominantly disagreed (14 out of 22) or were neutral (7 out of 22), with only one agreeing. Female respondents primarily agreed (14 out of 22) or strongly agreed (7 out of 22), with only one neutral response. </w:t>
      </w:r>
    </w:p>
    <w:p w14:paraId="4975412E" w14:textId="273FE2EE" w:rsidR="004268E4" w:rsidRPr="00D26909" w:rsidRDefault="00DE1D83" w:rsidP="004268E4">
      <w:pPr>
        <w:spacing w:line="360" w:lineRule="auto"/>
        <w:jc w:val="both"/>
        <w:rPr>
          <w:rFonts w:ascii="Times New Roman" w:hAnsi="Times New Roman" w:cs="Times New Roman"/>
        </w:rPr>
      </w:pPr>
      <w:r w:rsidRPr="00ED036B">
        <w:rPr>
          <w:rFonts w:ascii="Times New Roman" w:hAnsi="Times New Roman" w:cs="Times New Roman"/>
        </w:rPr>
        <w:t>χ² = 36.767, df = 3, p = .000. Males predominantly disagreed (14/22), while females agreed/strongly agreed (21/22).</w:t>
      </w:r>
      <w:r w:rsidR="004268E4">
        <w:rPr>
          <w:rFonts w:ascii="Times New Roman" w:hAnsi="Times New Roman" w:cs="Times New Roman"/>
        </w:rPr>
        <w:t xml:space="preserve"> </w:t>
      </w:r>
      <w:r w:rsidR="006C302E">
        <w:rPr>
          <w:rFonts w:ascii="Times New Roman" w:hAnsi="Times New Roman" w:cs="Times New Roman"/>
        </w:rPr>
        <w:t xml:space="preserve"> </w:t>
      </w:r>
      <w:r w:rsidR="00D73585" w:rsidRPr="00D73585">
        <w:rPr>
          <w:rFonts w:ascii="Times New Roman" w:hAnsi="Times New Roman" w:cs="Times New Roman"/>
        </w:rPr>
        <w:t xml:space="preserve">"Gender significantly impacted perceptions of administrative </w:t>
      </w:r>
      <w:r w:rsidR="00D73585" w:rsidRPr="00D73585">
        <w:rPr>
          <w:rFonts w:ascii="Times New Roman" w:hAnsi="Times New Roman" w:cs="Times New Roman"/>
        </w:rPr>
        <w:lastRenderedPageBreak/>
        <w:t xml:space="preserve">efficiency post-reorganization, with males largely disagreeing and females expressing strong agreement. </w:t>
      </w:r>
      <w:r w:rsidR="004268E4" w:rsidRPr="004268E4">
        <w:rPr>
          <w:rFonts w:ascii="Times New Roman" w:hAnsi="Times New Roman" w:cs="Times New Roman"/>
        </w:rPr>
        <w:t>This highlights a clear gender-based divergence in perceived outcomes</w:t>
      </w:r>
      <w:r w:rsidR="006C302E">
        <w:rPr>
          <w:rFonts w:ascii="Times New Roman" w:hAnsi="Times New Roman" w:cs="Times New Roman"/>
        </w:rPr>
        <w:t>.</w:t>
      </w:r>
    </w:p>
    <w:p w14:paraId="4A115850" w14:textId="2B3D1F2E" w:rsidR="0064140F" w:rsidRPr="00D26909" w:rsidRDefault="00090A1E" w:rsidP="0064140F">
      <w:pPr>
        <w:spacing w:line="360" w:lineRule="auto"/>
        <w:jc w:val="both"/>
        <w:rPr>
          <w:rFonts w:ascii="Times New Roman" w:hAnsi="Times New Roman" w:cs="Times New Roman"/>
          <w:b/>
          <w:bCs/>
          <w:i/>
          <w:iCs/>
        </w:rPr>
      </w:pPr>
      <w:r w:rsidRPr="00452D1C">
        <w:rPr>
          <w:rFonts w:ascii="Times New Roman" w:hAnsi="Times New Roman" w:cs="Times New Roman"/>
          <w:i/>
          <w:iCs/>
        </w:rPr>
        <w:t>This table illustrates the relationship between the years of experience of the respondents and their perception of improved administrative efficiency.</w:t>
      </w:r>
    </w:p>
    <w:tbl>
      <w:tblPr>
        <w:tblStyle w:val="GridTable5Dark-Accent1"/>
        <w:tblW w:w="0" w:type="auto"/>
        <w:tblLook w:val="0000" w:firstRow="0" w:lastRow="0" w:firstColumn="0" w:lastColumn="0" w:noHBand="0" w:noVBand="0"/>
      </w:tblPr>
      <w:tblGrid>
        <w:gridCol w:w="235"/>
        <w:gridCol w:w="1277"/>
        <w:gridCol w:w="1248"/>
        <w:gridCol w:w="1093"/>
        <w:gridCol w:w="938"/>
        <w:gridCol w:w="1484"/>
        <w:gridCol w:w="706"/>
        <w:gridCol w:w="962"/>
        <w:gridCol w:w="416"/>
        <w:gridCol w:w="657"/>
      </w:tblGrid>
      <w:tr w:rsidR="005F1183" w:rsidRPr="002E54EC" w14:paraId="325DBCDB"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1675D44D" w14:textId="77777777" w:rsidR="0064140F" w:rsidRPr="00D26909" w:rsidRDefault="0064140F" w:rsidP="00401D72">
            <w:pPr>
              <w:spacing w:line="276" w:lineRule="auto"/>
              <w:jc w:val="both"/>
              <w:rPr>
                <w:rFonts w:ascii="Times New Roman" w:hAnsi="Times New Roman" w:cs="Times New Roman"/>
              </w:rPr>
            </w:pPr>
            <w:r w:rsidRPr="002E54EC">
              <w:rPr>
                <w:rFonts w:ascii="Times New Roman" w:hAnsi="Times New Roman" w:cs="Times New Roman"/>
              </w:rPr>
              <w:t>Years of Experience</w:t>
            </w:r>
          </w:p>
        </w:tc>
        <w:tc>
          <w:tcPr>
            <w:tcW w:w="0" w:type="auto"/>
            <w:gridSpan w:val="4"/>
          </w:tcPr>
          <w:p w14:paraId="415E3C47"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573B535F"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gridSpan w:val="3"/>
          </w:tcPr>
          <w:p w14:paraId="19FA4CB7"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Chi-Square</w:t>
            </w:r>
          </w:p>
        </w:tc>
      </w:tr>
      <w:tr w:rsidR="0064140F" w:rsidRPr="002E54EC" w14:paraId="08F7AC92" w14:textId="77777777" w:rsidTr="005F1183">
        <w:tc>
          <w:tcPr>
            <w:cnfStyle w:val="000010000000" w:firstRow="0" w:lastRow="0" w:firstColumn="0" w:lastColumn="0" w:oddVBand="1" w:evenVBand="0" w:oddHBand="0" w:evenHBand="0" w:firstRowFirstColumn="0" w:firstRowLastColumn="0" w:lastRowFirstColumn="0" w:lastRowLastColumn="0"/>
            <w:tcW w:w="0" w:type="auto"/>
            <w:gridSpan w:val="2"/>
            <w:vMerge/>
          </w:tcPr>
          <w:p w14:paraId="5122F620" w14:textId="77777777" w:rsidR="0064140F" w:rsidRPr="00D26909" w:rsidRDefault="0064140F" w:rsidP="00401D72">
            <w:pPr>
              <w:spacing w:line="276" w:lineRule="auto"/>
              <w:jc w:val="both"/>
              <w:rPr>
                <w:rFonts w:ascii="Times New Roman" w:hAnsi="Times New Roman" w:cs="Times New Roman"/>
              </w:rPr>
            </w:pPr>
          </w:p>
        </w:tc>
        <w:tc>
          <w:tcPr>
            <w:tcW w:w="0" w:type="auto"/>
          </w:tcPr>
          <w:p w14:paraId="4548F7ED"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1B5C11D2"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Neutral</w:t>
            </w:r>
          </w:p>
        </w:tc>
        <w:tc>
          <w:tcPr>
            <w:tcW w:w="0" w:type="auto"/>
          </w:tcPr>
          <w:p w14:paraId="36246D25"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2E7C05B3"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66F37506"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962" w:type="dxa"/>
          </w:tcPr>
          <w:p w14:paraId="24DD4E95"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Value</w:t>
            </w:r>
          </w:p>
        </w:tc>
        <w:tc>
          <w:tcPr>
            <w:tcW w:w="416" w:type="dxa"/>
          </w:tcPr>
          <w:p w14:paraId="591C7714"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df</w:t>
            </w:r>
          </w:p>
        </w:tc>
        <w:tc>
          <w:tcPr>
            <w:cnfStyle w:val="000010000000" w:firstRow="0" w:lastRow="0" w:firstColumn="0" w:lastColumn="0" w:oddVBand="1" w:evenVBand="0" w:oddHBand="0" w:evenHBand="0" w:firstRowFirstColumn="0" w:firstRowLastColumn="0" w:lastRowFirstColumn="0" w:lastRowLastColumn="0"/>
            <w:tcW w:w="657" w:type="dxa"/>
          </w:tcPr>
          <w:p w14:paraId="34112903"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Sign</w:t>
            </w:r>
          </w:p>
          <w:p w14:paraId="115F1D67" w14:textId="77777777" w:rsidR="0064140F" w:rsidRPr="002E54EC" w:rsidRDefault="0064140F" w:rsidP="00401D72">
            <w:pPr>
              <w:spacing w:line="276" w:lineRule="auto"/>
              <w:jc w:val="both"/>
              <w:rPr>
                <w:rFonts w:ascii="Times New Roman" w:hAnsi="Times New Roman" w:cs="Times New Roman"/>
              </w:rPr>
            </w:pPr>
          </w:p>
        </w:tc>
      </w:tr>
      <w:tr w:rsidR="005F1183" w:rsidRPr="002E54EC" w14:paraId="394E764E"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20A420B4" w14:textId="77777777" w:rsidR="0064140F" w:rsidRPr="00D26909" w:rsidRDefault="0064140F" w:rsidP="00401D72">
            <w:pPr>
              <w:spacing w:line="276" w:lineRule="auto"/>
              <w:jc w:val="both"/>
              <w:rPr>
                <w:rFonts w:ascii="Times New Roman" w:hAnsi="Times New Roman" w:cs="Times New Roman"/>
              </w:rPr>
            </w:pPr>
          </w:p>
        </w:tc>
        <w:tc>
          <w:tcPr>
            <w:tcW w:w="0" w:type="auto"/>
          </w:tcPr>
          <w:p w14:paraId="53874DB1"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1-10</w:t>
            </w:r>
          </w:p>
        </w:tc>
        <w:tc>
          <w:tcPr>
            <w:cnfStyle w:val="000010000000" w:firstRow="0" w:lastRow="0" w:firstColumn="0" w:lastColumn="0" w:oddVBand="1" w:evenVBand="0" w:oddHBand="0" w:evenHBand="0" w:firstRowFirstColumn="0" w:firstRowLastColumn="0" w:lastRowFirstColumn="0" w:lastRowLastColumn="0"/>
            <w:tcW w:w="0" w:type="auto"/>
          </w:tcPr>
          <w:p w14:paraId="08BC50E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3B7859FA"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13209E2B"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6560A2FF"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475A0680"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962" w:type="dxa"/>
            <w:vMerge w:val="restart"/>
          </w:tcPr>
          <w:p w14:paraId="63B82B9F"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46.953</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416" w:type="dxa"/>
            <w:vMerge w:val="restart"/>
          </w:tcPr>
          <w:p w14:paraId="2B6E6BC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6</w:t>
            </w:r>
          </w:p>
        </w:tc>
        <w:tc>
          <w:tcPr>
            <w:tcW w:w="657" w:type="dxa"/>
            <w:vMerge w:val="restart"/>
          </w:tcPr>
          <w:p w14:paraId="46294BD1"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5F1183" w:rsidRPr="002E54EC" w14:paraId="64A1F889" w14:textId="77777777" w:rsidTr="005F1183">
        <w:tc>
          <w:tcPr>
            <w:cnfStyle w:val="000010000000" w:firstRow="0" w:lastRow="0" w:firstColumn="0" w:lastColumn="0" w:oddVBand="1" w:evenVBand="0" w:oddHBand="0" w:evenHBand="0" w:firstRowFirstColumn="0" w:firstRowLastColumn="0" w:lastRowFirstColumn="0" w:lastRowLastColumn="0"/>
            <w:tcW w:w="0" w:type="auto"/>
            <w:vMerge/>
          </w:tcPr>
          <w:p w14:paraId="121D5EF6" w14:textId="77777777" w:rsidR="0064140F" w:rsidRPr="00D26909" w:rsidRDefault="0064140F" w:rsidP="00401D72">
            <w:pPr>
              <w:spacing w:line="276" w:lineRule="auto"/>
              <w:jc w:val="both"/>
              <w:rPr>
                <w:rFonts w:ascii="Times New Roman" w:hAnsi="Times New Roman" w:cs="Times New Roman"/>
              </w:rPr>
            </w:pPr>
          </w:p>
        </w:tc>
        <w:tc>
          <w:tcPr>
            <w:tcW w:w="0" w:type="auto"/>
          </w:tcPr>
          <w:p w14:paraId="0BD0C7EE"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11-20</w:t>
            </w:r>
          </w:p>
        </w:tc>
        <w:tc>
          <w:tcPr>
            <w:cnfStyle w:val="000010000000" w:firstRow="0" w:lastRow="0" w:firstColumn="0" w:lastColumn="0" w:oddVBand="1" w:evenVBand="0" w:oddHBand="0" w:evenHBand="0" w:firstRowFirstColumn="0" w:firstRowLastColumn="0" w:lastRowFirstColumn="0" w:lastRowLastColumn="0"/>
            <w:tcW w:w="0" w:type="auto"/>
          </w:tcPr>
          <w:p w14:paraId="6392B0A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0D8FE38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6418FC0C"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w:t>
            </w:r>
          </w:p>
        </w:tc>
        <w:tc>
          <w:tcPr>
            <w:tcW w:w="0" w:type="auto"/>
          </w:tcPr>
          <w:p w14:paraId="2D8A4D2D"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2DBF71A5"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16</w:t>
            </w:r>
          </w:p>
        </w:tc>
        <w:tc>
          <w:tcPr>
            <w:tcW w:w="962" w:type="dxa"/>
            <w:vMerge/>
          </w:tcPr>
          <w:p w14:paraId="2477868F"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vMerge/>
          </w:tcPr>
          <w:p w14:paraId="1871D798" w14:textId="77777777" w:rsidR="0064140F" w:rsidRPr="002E54EC" w:rsidRDefault="0064140F" w:rsidP="00401D72">
            <w:pPr>
              <w:spacing w:line="276" w:lineRule="auto"/>
              <w:jc w:val="both"/>
              <w:rPr>
                <w:rFonts w:ascii="Times New Roman" w:hAnsi="Times New Roman" w:cs="Times New Roman"/>
              </w:rPr>
            </w:pPr>
          </w:p>
        </w:tc>
        <w:tc>
          <w:tcPr>
            <w:tcW w:w="657" w:type="dxa"/>
            <w:vMerge/>
          </w:tcPr>
          <w:p w14:paraId="6268AC2C"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F1183" w:rsidRPr="002E54EC" w14:paraId="3F25D837"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tcPr>
          <w:p w14:paraId="34C896D5" w14:textId="77777777" w:rsidR="0064140F" w:rsidRPr="00D26909" w:rsidRDefault="0064140F" w:rsidP="00401D72">
            <w:pPr>
              <w:spacing w:line="276" w:lineRule="auto"/>
              <w:jc w:val="both"/>
              <w:rPr>
                <w:rFonts w:ascii="Times New Roman" w:hAnsi="Times New Roman" w:cs="Times New Roman"/>
              </w:rPr>
            </w:pPr>
          </w:p>
        </w:tc>
        <w:tc>
          <w:tcPr>
            <w:tcW w:w="0" w:type="auto"/>
          </w:tcPr>
          <w:p w14:paraId="0E4F34E9"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More than 20</w:t>
            </w:r>
          </w:p>
        </w:tc>
        <w:tc>
          <w:tcPr>
            <w:cnfStyle w:val="000010000000" w:firstRow="0" w:lastRow="0" w:firstColumn="0" w:lastColumn="0" w:oddVBand="1" w:evenVBand="0" w:oddHBand="0" w:evenHBand="0" w:firstRowFirstColumn="0" w:firstRowLastColumn="0" w:lastRowFirstColumn="0" w:lastRowLastColumn="0"/>
            <w:tcW w:w="0" w:type="auto"/>
          </w:tcPr>
          <w:p w14:paraId="0FAD85B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0EEFAABB"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1B7574F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13</w:t>
            </w:r>
          </w:p>
        </w:tc>
        <w:tc>
          <w:tcPr>
            <w:tcW w:w="0" w:type="auto"/>
          </w:tcPr>
          <w:p w14:paraId="041507F1"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35DE64B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962" w:type="dxa"/>
            <w:vMerge/>
          </w:tcPr>
          <w:p w14:paraId="2FCABB37"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vMerge/>
          </w:tcPr>
          <w:p w14:paraId="0F7CF4B1" w14:textId="77777777" w:rsidR="0064140F" w:rsidRPr="002E54EC" w:rsidRDefault="0064140F" w:rsidP="00401D72">
            <w:pPr>
              <w:spacing w:line="276" w:lineRule="auto"/>
              <w:jc w:val="both"/>
              <w:rPr>
                <w:rFonts w:ascii="Times New Roman" w:hAnsi="Times New Roman" w:cs="Times New Roman"/>
              </w:rPr>
            </w:pPr>
          </w:p>
        </w:tc>
        <w:tc>
          <w:tcPr>
            <w:tcW w:w="657" w:type="dxa"/>
            <w:vMerge/>
          </w:tcPr>
          <w:p w14:paraId="47C3D742"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F1183" w:rsidRPr="002E54EC" w14:paraId="1974D384" w14:textId="77777777" w:rsidTr="005F1183">
        <w:tc>
          <w:tcPr>
            <w:cnfStyle w:val="000010000000" w:firstRow="0" w:lastRow="0" w:firstColumn="0" w:lastColumn="0" w:oddVBand="1" w:evenVBand="0" w:oddHBand="0" w:evenHBand="0" w:firstRowFirstColumn="0" w:firstRowLastColumn="0" w:lastRowFirstColumn="0" w:lastRowLastColumn="0"/>
            <w:tcW w:w="0" w:type="auto"/>
            <w:gridSpan w:val="2"/>
          </w:tcPr>
          <w:p w14:paraId="29E49CA2"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tcPr>
          <w:p w14:paraId="4259C6D9"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092E3E10"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8</w:t>
            </w:r>
          </w:p>
        </w:tc>
        <w:tc>
          <w:tcPr>
            <w:tcW w:w="0" w:type="auto"/>
          </w:tcPr>
          <w:p w14:paraId="4E0FAD60"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4A7B133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6E9E036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962" w:type="dxa"/>
            <w:vMerge/>
          </w:tcPr>
          <w:p w14:paraId="3EF60E2A" w14:textId="77777777" w:rsidR="0064140F" w:rsidRPr="002E54EC" w:rsidRDefault="0064140F" w:rsidP="00401D72">
            <w:pPr>
              <w:spacing w:line="276" w:lineRule="auto"/>
              <w:jc w:val="both"/>
              <w:rPr>
                <w:rFonts w:ascii="Times New Roman" w:hAnsi="Times New Roman" w:cs="Times New Roman"/>
              </w:rPr>
            </w:pPr>
          </w:p>
        </w:tc>
        <w:tc>
          <w:tcPr>
            <w:tcW w:w="416" w:type="dxa"/>
            <w:vMerge/>
          </w:tcPr>
          <w:p w14:paraId="008A497D"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657" w:type="dxa"/>
            <w:vMerge/>
          </w:tcPr>
          <w:p w14:paraId="5431E6EC" w14:textId="77777777" w:rsidR="0064140F" w:rsidRPr="002E54EC" w:rsidRDefault="0064140F" w:rsidP="00401D72">
            <w:pPr>
              <w:spacing w:line="276" w:lineRule="auto"/>
              <w:jc w:val="both"/>
              <w:rPr>
                <w:rFonts w:ascii="Times New Roman" w:hAnsi="Times New Roman" w:cs="Times New Roman"/>
              </w:rPr>
            </w:pPr>
          </w:p>
        </w:tc>
      </w:tr>
    </w:tbl>
    <w:p w14:paraId="31E31D7C" w14:textId="77777777" w:rsidR="0064140F" w:rsidRPr="00D26909" w:rsidRDefault="0064140F" w:rsidP="0064140F">
      <w:pPr>
        <w:spacing w:line="360" w:lineRule="auto"/>
        <w:jc w:val="both"/>
        <w:rPr>
          <w:rFonts w:ascii="Times New Roman" w:hAnsi="Times New Roman" w:cs="Times New Roman"/>
        </w:rPr>
      </w:pPr>
    </w:p>
    <w:p w14:paraId="19807E76"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noProof/>
        </w:rPr>
        <w:drawing>
          <wp:inline distT="0" distB="0" distL="0" distR="0" wp14:anchorId="57E9FFAF" wp14:editId="7CE47B77">
            <wp:extent cx="5731510" cy="2301240"/>
            <wp:effectExtent l="0" t="0" r="2540" b="3810"/>
            <wp:docPr id="89899085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01240"/>
                    </a:xfrm>
                    <a:prstGeom prst="rect">
                      <a:avLst/>
                    </a:prstGeom>
                    <a:noFill/>
                    <a:ln>
                      <a:noFill/>
                    </a:ln>
                  </pic:spPr>
                </pic:pic>
              </a:graphicData>
            </a:graphic>
          </wp:inline>
        </w:drawing>
      </w:r>
    </w:p>
    <w:p w14:paraId="71802A70" w14:textId="77777777" w:rsidR="0064140F" w:rsidRPr="00452D1C" w:rsidRDefault="0064140F" w:rsidP="0064140F">
      <w:pPr>
        <w:spacing w:line="360" w:lineRule="auto"/>
        <w:jc w:val="both"/>
        <w:rPr>
          <w:rFonts w:ascii="Times New Roman" w:hAnsi="Times New Roman" w:cs="Times New Roman"/>
        </w:rPr>
      </w:pPr>
      <w:r w:rsidRPr="00452D1C">
        <w:rPr>
          <w:rFonts w:ascii="Times New Roman" w:hAnsi="Times New Roman" w:cs="Times New Roman"/>
        </w:rPr>
        <w:t>This table illustrates the relationship between the years of experience of the respondents and their perception of improved administrative efficiency.</w:t>
      </w:r>
      <w:r>
        <w:rPr>
          <w:rFonts w:ascii="Times New Roman" w:hAnsi="Times New Roman" w:cs="Times New Roman"/>
        </w:rPr>
        <w:t xml:space="preserve"> </w:t>
      </w:r>
      <w:r w:rsidRPr="00452D1C">
        <w:rPr>
          <w:rFonts w:ascii="Times New Roman" w:hAnsi="Times New Roman" w:cs="Times New Roman"/>
        </w:rPr>
        <w:t>Respondents with 1-10 years of experience were split between disagreeing and being neutral (7 each).</w:t>
      </w:r>
      <w:r>
        <w:rPr>
          <w:rFonts w:ascii="Times New Roman" w:hAnsi="Times New Roman" w:cs="Times New Roman"/>
        </w:rPr>
        <w:t xml:space="preserve"> </w:t>
      </w:r>
      <w:r w:rsidRPr="00452D1C">
        <w:rPr>
          <w:rFonts w:ascii="Times New Roman" w:hAnsi="Times New Roman" w:cs="Times New Roman"/>
        </w:rPr>
        <w:t>Respondents with 11-20 years of experience showed a mix of responses, with a tendency towards agreement (6 strongly agree, 2 agree).</w:t>
      </w:r>
      <w:r>
        <w:rPr>
          <w:rFonts w:ascii="Times New Roman" w:hAnsi="Times New Roman" w:cs="Times New Roman"/>
        </w:rPr>
        <w:t xml:space="preserve"> </w:t>
      </w:r>
      <w:r w:rsidRPr="00452D1C">
        <w:rPr>
          <w:rFonts w:ascii="Times New Roman" w:hAnsi="Times New Roman" w:cs="Times New Roman"/>
        </w:rPr>
        <w:t>Respondents with more than 20 years of experience heavily agreed(13 agree, 1 strongly agree).</w:t>
      </w:r>
    </w:p>
    <w:p w14:paraId="677AD301" w14:textId="3DEA1231" w:rsidR="00ED036B" w:rsidRDefault="00ED036B" w:rsidP="00701BEB">
      <w:pPr>
        <w:spacing w:line="360" w:lineRule="auto"/>
        <w:jc w:val="both"/>
        <w:rPr>
          <w:rFonts w:ascii="Times New Roman" w:hAnsi="Times New Roman" w:cs="Times New Roman"/>
        </w:rPr>
      </w:pPr>
      <w:r w:rsidRPr="00ED036B">
        <w:rPr>
          <w:rFonts w:ascii="Times New Roman" w:hAnsi="Times New Roman" w:cs="Times New Roman"/>
        </w:rPr>
        <w:t xml:space="preserve"> χ² = 46.953, df = 6, p = .000. 1-10 years disagreed/neutral (14/14), 11-20 years mixed (7 disagree, 6 strongly agree), &gt;20 years mostly agreed (13/14).</w:t>
      </w:r>
    </w:p>
    <w:p w14:paraId="49E4BEFC" w14:textId="105E580F" w:rsidR="009747E6" w:rsidRPr="00ED036B" w:rsidRDefault="00892822" w:rsidP="00701BEB">
      <w:pPr>
        <w:spacing w:line="360" w:lineRule="auto"/>
        <w:jc w:val="both"/>
        <w:rPr>
          <w:rFonts w:ascii="Times New Roman" w:hAnsi="Times New Roman" w:cs="Times New Roman"/>
        </w:rPr>
      </w:pPr>
      <w:r w:rsidRPr="00892822">
        <w:rPr>
          <w:rFonts w:ascii="Times New Roman" w:hAnsi="Times New Roman" w:cs="Times New Roman"/>
        </w:rPr>
        <w:t xml:space="preserve">"Years of experience significantly influenced perceptions of administrative efficiency post-reorganization, with those newer to the workforce being less positive, and those with over 20 </w:t>
      </w:r>
      <w:r w:rsidRPr="00892822">
        <w:rPr>
          <w:rFonts w:ascii="Times New Roman" w:hAnsi="Times New Roman" w:cs="Times New Roman"/>
        </w:rPr>
        <w:lastRenderedPageBreak/>
        <w:t>years of experience being mostly positive.</w:t>
      </w:r>
      <w:r>
        <w:rPr>
          <w:rFonts w:ascii="Times New Roman" w:hAnsi="Times New Roman" w:cs="Times New Roman"/>
        </w:rPr>
        <w:t xml:space="preserve"> </w:t>
      </w:r>
      <w:r w:rsidR="009747E6" w:rsidRPr="009747E6">
        <w:rPr>
          <w:rFonts w:ascii="Times New Roman" w:hAnsi="Times New Roman" w:cs="Times New Roman"/>
        </w:rPr>
        <w:t>This suggests that the reorganization's impact is perceived differently based on professional tenure."</w:t>
      </w:r>
    </w:p>
    <w:p w14:paraId="672FD93D" w14:textId="4AF1C6A2"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Conclusion</w:t>
      </w:r>
    </w:p>
    <w:p w14:paraId="31ADE3B6"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Reorganization affects administrative efficiency perceptions differently across age, gender, and experience, with significant statistical support. Tailored strategies are needed to address these disparities.</w:t>
      </w:r>
    </w:p>
    <w:p w14:paraId="77057BD4"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Discussion</w:t>
      </w:r>
    </w:p>
    <w:p w14:paraId="286C757E"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The findings align with prior research (Smith &amp; Johnson, 2020; Kumar &amp; Sharma, 2019) showing demographic influences on change perception. Younger employees’ positivity may reflect openness (Lee &amp; Kim, 2022), while gender differences echo Brown and Taylor (2023). Experience results suggest a U-shaped response, with mid-career staff most ambivalent (Singh &amp; Verma, 2020).</w:t>
      </w:r>
    </w:p>
    <w:p w14:paraId="63E437D1"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Implication</w:t>
      </w:r>
    </w:p>
    <w:p w14:paraId="453E2CFC"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Organizations should customize reorganization approaches, engaging older males and less experienced staff to boost acceptance, while leveraging younger and female employees’ support to drive efficiency gains.</w:t>
      </w:r>
    </w:p>
    <w:p w14:paraId="7D509423" w14:textId="04358AAE"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References</w:t>
      </w:r>
    </w:p>
    <w:p w14:paraId="175005B1"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Adams, R., &amp; Green, T. (2019). Efficiency in organizational design. </w:t>
      </w:r>
      <w:r w:rsidRPr="00ED036B">
        <w:rPr>
          <w:rFonts w:ascii="Times New Roman" w:hAnsi="Times New Roman" w:cs="Times New Roman"/>
          <w:i/>
          <w:iCs/>
        </w:rPr>
        <w:t>Journal of Organizational Studies, 25</w:t>
      </w:r>
      <w:r w:rsidRPr="00ED036B">
        <w:rPr>
          <w:rFonts w:ascii="Times New Roman" w:hAnsi="Times New Roman" w:cs="Times New Roman"/>
        </w:rPr>
        <w:t>(2), 89-104.</w:t>
      </w:r>
    </w:p>
    <w:p w14:paraId="73F71E41"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Brown, A., &amp; Taylor, M. (2023). Gender differences in workplace change perception. </w:t>
      </w:r>
      <w:r w:rsidRPr="00ED036B">
        <w:rPr>
          <w:rFonts w:ascii="Times New Roman" w:hAnsi="Times New Roman" w:cs="Times New Roman"/>
          <w:i/>
          <w:iCs/>
        </w:rPr>
        <w:t>Gender, Work &amp; Organization, 30</w:t>
      </w:r>
      <w:r w:rsidRPr="00ED036B">
        <w:rPr>
          <w:rFonts w:ascii="Times New Roman" w:hAnsi="Times New Roman" w:cs="Times New Roman"/>
        </w:rPr>
        <w:t>(1), 45-62.</w:t>
      </w:r>
    </w:p>
    <w:p w14:paraId="6A50A456"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Chen, Y., &amp; Wang, Q. (2021). Chi-square applications in organizational research. </w:t>
      </w:r>
      <w:r w:rsidRPr="00ED036B">
        <w:rPr>
          <w:rFonts w:ascii="Times New Roman" w:hAnsi="Times New Roman" w:cs="Times New Roman"/>
          <w:i/>
          <w:iCs/>
        </w:rPr>
        <w:t>Statistical Methods in Management, 18</w:t>
      </w:r>
      <w:r w:rsidRPr="00ED036B">
        <w:rPr>
          <w:rFonts w:ascii="Times New Roman" w:hAnsi="Times New Roman" w:cs="Times New Roman"/>
        </w:rPr>
        <w:t>(3), 234-250.</w:t>
      </w:r>
    </w:p>
    <w:p w14:paraId="32BD79D8"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Gupta, S., &amp; Singh, A. (2021). Statistical analysis of organizational change in India. </w:t>
      </w:r>
      <w:r w:rsidRPr="00ED036B">
        <w:rPr>
          <w:rFonts w:ascii="Times New Roman" w:hAnsi="Times New Roman" w:cs="Times New Roman"/>
          <w:i/>
          <w:iCs/>
        </w:rPr>
        <w:t>Journal of Indian Business Research, 13</w:t>
      </w:r>
      <w:r w:rsidRPr="00ED036B">
        <w:rPr>
          <w:rFonts w:ascii="Times New Roman" w:hAnsi="Times New Roman" w:cs="Times New Roman"/>
        </w:rPr>
        <w:t>(1), 78-94.</w:t>
      </w:r>
    </w:p>
    <w:p w14:paraId="29F81DF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Jain, P., &amp; Rao, S. (2017). Administrative reforms in Indian education sector. </w:t>
      </w:r>
      <w:r w:rsidRPr="00ED036B">
        <w:rPr>
          <w:rFonts w:ascii="Times New Roman" w:hAnsi="Times New Roman" w:cs="Times New Roman"/>
          <w:i/>
          <w:iCs/>
        </w:rPr>
        <w:t>Educational Administration Quarterly India, 5</w:t>
      </w:r>
      <w:r w:rsidRPr="00ED036B">
        <w:rPr>
          <w:rFonts w:ascii="Times New Roman" w:hAnsi="Times New Roman" w:cs="Times New Roman"/>
        </w:rPr>
        <w:t>(1), 34-50.</w:t>
      </w:r>
    </w:p>
    <w:p w14:paraId="2EA1BBE2"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Kumar, R., &amp; Sharma, P. (2019). Reorganization and administrative efficiency in Indian public sectors. </w:t>
      </w:r>
      <w:r w:rsidRPr="00ED036B">
        <w:rPr>
          <w:rFonts w:ascii="Times New Roman" w:hAnsi="Times New Roman" w:cs="Times New Roman"/>
          <w:i/>
          <w:iCs/>
        </w:rPr>
        <w:t>Indian Journal of Public Administration, 65</w:t>
      </w:r>
      <w:r w:rsidRPr="00ED036B">
        <w:rPr>
          <w:rFonts w:ascii="Times New Roman" w:hAnsi="Times New Roman" w:cs="Times New Roman"/>
        </w:rPr>
        <w:t>(2), 189-205.</w:t>
      </w:r>
    </w:p>
    <w:p w14:paraId="0DB1A752"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lastRenderedPageBreak/>
        <w:t xml:space="preserve">Lee, S., &amp; Kim, H. (2022). Age and adaptability in organizational change: Evidence from South Korea. </w:t>
      </w:r>
      <w:r w:rsidRPr="00ED036B">
        <w:rPr>
          <w:rFonts w:ascii="Times New Roman" w:hAnsi="Times New Roman" w:cs="Times New Roman"/>
          <w:i/>
          <w:iCs/>
        </w:rPr>
        <w:t>Asia Pacific Journal of Management, 39</w:t>
      </w:r>
      <w:r w:rsidRPr="00ED036B">
        <w:rPr>
          <w:rFonts w:ascii="Times New Roman" w:hAnsi="Times New Roman" w:cs="Times New Roman"/>
        </w:rPr>
        <w:t>(2), 301-319.</w:t>
      </w:r>
    </w:p>
    <w:p w14:paraId="736C9C9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O’Connor, P., &amp; Zhang, L. (2022). Administrative efficiency in global firms: A comparative study. </w:t>
      </w:r>
      <w:r w:rsidRPr="00ED036B">
        <w:rPr>
          <w:rFonts w:ascii="Times New Roman" w:hAnsi="Times New Roman" w:cs="Times New Roman"/>
          <w:i/>
          <w:iCs/>
        </w:rPr>
        <w:t>International Journal of Business Research, 22</w:t>
      </w:r>
      <w:r w:rsidRPr="00ED036B">
        <w:rPr>
          <w:rFonts w:ascii="Times New Roman" w:hAnsi="Times New Roman" w:cs="Times New Roman"/>
        </w:rPr>
        <w:t>(4), 567-589.</w:t>
      </w:r>
    </w:p>
    <w:p w14:paraId="28BF9E8D"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Patel, N., &amp; Desai, K. (2018). Age dynamics in Indian workplace restructuring. </w:t>
      </w:r>
      <w:r w:rsidRPr="00ED036B">
        <w:rPr>
          <w:rFonts w:ascii="Times New Roman" w:hAnsi="Times New Roman" w:cs="Times New Roman"/>
          <w:i/>
          <w:iCs/>
        </w:rPr>
        <w:t>Management Review India, 10</w:t>
      </w:r>
      <w:r w:rsidRPr="00ED036B">
        <w:rPr>
          <w:rFonts w:ascii="Times New Roman" w:hAnsi="Times New Roman" w:cs="Times New Roman"/>
        </w:rPr>
        <w:t>(3), 123-139.</w:t>
      </w:r>
    </w:p>
    <w:p w14:paraId="5A325778"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Singh, V., &amp; Verma, R. (2020). Experience and organizational change: An Indian perspective. </w:t>
      </w:r>
      <w:r w:rsidRPr="00ED036B">
        <w:rPr>
          <w:rFonts w:ascii="Times New Roman" w:hAnsi="Times New Roman" w:cs="Times New Roman"/>
          <w:i/>
          <w:iCs/>
        </w:rPr>
        <w:t>Journal of Organizational Behavior India, 7</w:t>
      </w:r>
      <w:r w:rsidRPr="00ED036B">
        <w:rPr>
          <w:rFonts w:ascii="Times New Roman" w:hAnsi="Times New Roman" w:cs="Times New Roman"/>
        </w:rPr>
        <w:t>(2), 56-72.</w:t>
      </w:r>
    </w:p>
    <w:p w14:paraId="58528509"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Smith, J., &amp; Johnson, R. (2020). Organizational restructuring and employee perceptions: A global perspective. </w:t>
      </w:r>
      <w:r w:rsidRPr="00ED036B">
        <w:rPr>
          <w:rFonts w:ascii="Times New Roman" w:hAnsi="Times New Roman" w:cs="Times New Roman"/>
          <w:i/>
          <w:iCs/>
        </w:rPr>
        <w:t>Journal of Management Studies, 57</w:t>
      </w:r>
      <w:r w:rsidRPr="00ED036B">
        <w:rPr>
          <w:rFonts w:ascii="Times New Roman" w:hAnsi="Times New Roman" w:cs="Times New Roman"/>
        </w:rPr>
        <w:t>(3), 412-430.</w:t>
      </w:r>
    </w:p>
    <w:p w14:paraId="70C6A06E"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Brown, T., &amp; Lee, M. (2021). Change management strategies. </w:t>
      </w:r>
      <w:r w:rsidRPr="00ED036B">
        <w:rPr>
          <w:rFonts w:ascii="Times New Roman" w:hAnsi="Times New Roman" w:cs="Times New Roman"/>
          <w:i/>
          <w:iCs/>
        </w:rPr>
        <w:t>Organizational Dynamics, 50</w:t>
      </w:r>
      <w:r w:rsidRPr="00ED036B">
        <w:rPr>
          <w:rFonts w:ascii="Times New Roman" w:hAnsi="Times New Roman" w:cs="Times New Roman"/>
        </w:rPr>
        <w:t>(4), 301-315.</w:t>
      </w:r>
    </w:p>
    <w:p w14:paraId="0F0586F6"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Gupta, R., &amp; Patel, S. (2020). Efficiency in Indian organizations. </w:t>
      </w:r>
      <w:r w:rsidRPr="00ED036B">
        <w:rPr>
          <w:rFonts w:ascii="Times New Roman" w:hAnsi="Times New Roman" w:cs="Times New Roman"/>
          <w:i/>
          <w:iCs/>
        </w:rPr>
        <w:t>Indian Management Journal, 12</w:t>
      </w:r>
      <w:r w:rsidRPr="00ED036B">
        <w:rPr>
          <w:rFonts w:ascii="Times New Roman" w:hAnsi="Times New Roman" w:cs="Times New Roman"/>
        </w:rPr>
        <w:t>(3), 45-60.</w:t>
      </w:r>
    </w:p>
    <w:p w14:paraId="62174D87"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Kim, J., &amp; Park, H. (2023). Statistical tools in organizational research. </w:t>
      </w:r>
      <w:r w:rsidRPr="00ED036B">
        <w:rPr>
          <w:rFonts w:ascii="Times New Roman" w:hAnsi="Times New Roman" w:cs="Times New Roman"/>
          <w:i/>
          <w:iCs/>
        </w:rPr>
        <w:t>Journal of Applied Statistics, 50</w:t>
      </w:r>
      <w:r w:rsidRPr="00ED036B">
        <w:rPr>
          <w:rFonts w:ascii="Times New Roman" w:hAnsi="Times New Roman" w:cs="Times New Roman"/>
        </w:rPr>
        <w:t>(2), 123-140.</w:t>
      </w:r>
    </w:p>
    <w:p w14:paraId="33061CCB"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Sharma, A., &amp; Jain, V. (2018). Workplace dynamics in India. </w:t>
      </w:r>
      <w:r w:rsidRPr="00ED036B">
        <w:rPr>
          <w:rFonts w:ascii="Times New Roman" w:hAnsi="Times New Roman" w:cs="Times New Roman"/>
          <w:i/>
          <w:iCs/>
        </w:rPr>
        <w:t>Journal of Business Studies India, 9</w:t>
      </w:r>
      <w:r w:rsidRPr="00ED036B">
        <w:rPr>
          <w:rFonts w:ascii="Times New Roman" w:hAnsi="Times New Roman" w:cs="Times New Roman"/>
        </w:rPr>
        <w:t>(1), 78-92.</w:t>
      </w:r>
    </w:p>
    <w:p w14:paraId="0C8B6F0B"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Taylor, R., &amp; Adams, S. (2022). Gender and organizational change. </w:t>
      </w:r>
      <w:r w:rsidRPr="00ED036B">
        <w:rPr>
          <w:rFonts w:ascii="Times New Roman" w:hAnsi="Times New Roman" w:cs="Times New Roman"/>
          <w:i/>
          <w:iCs/>
        </w:rPr>
        <w:t>Work and Occupations, 49</w:t>
      </w:r>
      <w:r w:rsidRPr="00ED036B">
        <w:rPr>
          <w:rFonts w:ascii="Times New Roman" w:hAnsi="Times New Roman" w:cs="Times New Roman"/>
        </w:rPr>
        <w:t>(3), 234-250.</w:t>
      </w:r>
    </w:p>
    <w:p w14:paraId="5C2F9D8F"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Verma, P., &amp; Singh, K. (2019). Administrative reforms in India. </w:t>
      </w:r>
      <w:r w:rsidRPr="00ED036B">
        <w:rPr>
          <w:rFonts w:ascii="Times New Roman" w:hAnsi="Times New Roman" w:cs="Times New Roman"/>
          <w:i/>
          <w:iCs/>
        </w:rPr>
        <w:t>Public Administration Review India, 8</w:t>
      </w:r>
      <w:r w:rsidRPr="00ED036B">
        <w:rPr>
          <w:rFonts w:ascii="Times New Roman" w:hAnsi="Times New Roman" w:cs="Times New Roman"/>
        </w:rPr>
        <w:t>(2), 56-70.</w:t>
      </w:r>
    </w:p>
    <w:p w14:paraId="29BC695E"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Wang, L., &amp; Chen, X. (2021). Global perspectives on reorganization. </w:t>
      </w:r>
      <w:r w:rsidRPr="00ED036B">
        <w:rPr>
          <w:rFonts w:ascii="Times New Roman" w:hAnsi="Times New Roman" w:cs="Times New Roman"/>
          <w:i/>
          <w:iCs/>
        </w:rPr>
        <w:t>International Management Review, 17</w:t>
      </w:r>
      <w:r w:rsidRPr="00ED036B">
        <w:rPr>
          <w:rFonts w:ascii="Times New Roman" w:hAnsi="Times New Roman" w:cs="Times New Roman"/>
        </w:rPr>
        <w:t>(4), 89-105.</w:t>
      </w:r>
    </w:p>
    <w:p w14:paraId="3C22FCA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Zhang, Q., &amp; Li, Y. (2020). Employee perceptions of efficiency. </w:t>
      </w:r>
      <w:r w:rsidRPr="00ED036B">
        <w:rPr>
          <w:rFonts w:ascii="Times New Roman" w:hAnsi="Times New Roman" w:cs="Times New Roman"/>
          <w:i/>
          <w:iCs/>
        </w:rPr>
        <w:t>Journal of Organizational Psychology, 20</w:t>
      </w:r>
      <w:r w:rsidRPr="00ED036B">
        <w:rPr>
          <w:rFonts w:ascii="Times New Roman" w:hAnsi="Times New Roman" w:cs="Times New Roman"/>
        </w:rPr>
        <w:t>(3), 67-82.</w:t>
      </w:r>
    </w:p>
    <w:p w14:paraId="6450A861" w14:textId="3282AAE0" w:rsidR="00ED036B" w:rsidRPr="004B0021" w:rsidRDefault="00ED036B" w:rsidP="00D81B93">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Rao, T., &amp; Kumar, S. (2021). Organizational change in Indian contexts. </w:t>
      </w:r>
      <w:r w:rsidRPr="00ED036B">
        <w:rPr>
          <w:rFonts w:ascii="Times New Roman" w:hAnsi="Times New Roman" w:cs="Times New Roman"/>
          <w:i/>
          <w:iCs/>
        </w:rPr>
        <w:t>Indian Journal of Management, 14</w:t>
      </w:r>
      <w:r w:rsidRPr="00ED036B">
        <w:rPr>
          <w:rFonts w:ascii="Times New Roman" w:hAnsi="Times New Roman" w:cs="Times New Roman"/>
        </w:rPr>
        <w:t>(2), 34-49.</w:t>
      </w:r>
    </w:p>
    <w:sectPr w:rsidR="00ED036B" w:rsidRPr="004B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F90"/>
    <w:multiLevelType w:val="multilevel"/>
    <w:tmpl w:val="F6B8A8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A07753"/>
    <w:multiLevelType w:val="multilevel"/>
    <w:tmpl w:val="01DEF18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F385B3A"/>
    <w:multiLevelType w:val="multilevel"/>
    <w:tmpl w:val="00A40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F23CD"/>
    <w:multiLevelType w:val="multilevel"/>
    <w:tmpl w:val="33E0723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53199"/>
    <w:multiLevelType w:val="multilevel"/>
    <w:tmpl w:val="D25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F25BD"/>
    <w:multiLevelType w:val="multilevel"/>
    <w:tmpl w:val="ECB2F6C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07786"/>
    <w:multiLevelType w:val="multilevel"/>
    <w:tmpl w:val="550E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02812"/>
    <w:multiLevelType w:val="multilevel"/>
    <w:tmpl w:val="EC6EC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18058546">
    <w:abstractNumId w:val="2"/>
  </w:num>
  <w:num w:numId="2" w16cid:durableId="515660250">
    <w:abstractNumId w:val="3"/>
  </w:num>
  <w:num w:numId="3" w16cid:durableId="1608463856">
    <w:abstractNumId w:val="4"/>
  </w:num>
  <w:num w:numId="4" w16cid:durableId="1715154700">
    <w:abstractNumId w:val="6"/>
  </w:num>
  <w:num w:numId="5" w16cid:durableId="1371880646">
    <w:abstractNumId w:val="1"/>
  </w:num>
  <w:num w:numId="6" w16cid:durableId="543832737">
    <w:abstractNumId w:val="5"/>
  </w:num>
  <w:num w:numId="7" w16cid:durableId="1871844392">
    <w:abstractNumId w:val="7"/>
  </w:num>
  <w:num w:numId="8" w16cid:durableId="97872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F4"/>
    <w:rsid w:val="00021670"/>
    <w:rsid w:val="0007362C"/>
    <w:rsid w:val="00081C08"/>
    <w:rsid w:val="00090A1E"/>
    <w:rsid w:val="000A4002"/>
    <w:rsid w:val="000C1627"/>
    <w:rsid w:val="001426F4"/>
    <w:rsid w:val="00156865"/>
    <w:rsid w:val="002E54EC"/>
    <w:rsid w:val="00322AF7"/>
    <w:rsid w:val="00401D72"/>
    <w:rsid w:val="004268E4"/>
    <w:rsid w:val="00452D1C"/>
    <w:rsid w:val="004B0021"/>
    <w:rsid w:val="004E0259"/>
    <w:rsid w:val="004F384B"/>
    <w:rsid w:val="005F1183"/>
    <w:rsid w:val="00620E92"/>
    <w:rsid w:val="0064140F"/>
    <w:rsid w:val="006C302E"/>
    <w:rsid w:val="006F0CA5"/>
    <w:rsid w:val="00701BEB"/>
    <w:rsid w:val="007A4BF4"/>
    <w:rsid w:val="007B7561"/>
    <w:rsid w:val="00866CB7"/>
    <w:rsid w:val="00892822"/>
    <w:rsid w:val="0096294C"/>
    <w:rsid w:val="009747E6"/>
    <w:rsid w:val="00A83F98"/>
    <w:rsid w:val="00AB3126"/>
    <w:rsid w:val="00B2515F"/>
    <w:rsid w:val="00B64E6E"/>
    <w:rsid w:val="00B97E19"/>
    <w:rsid w:val="00C416B6"/>
    <w:rsid w:val="00D05DA7"/>
    <w:rsid w:val="00D47622"/>
    <w:rsid w:val="00D73585"/>
    <w:rsid w:val="00DA42E1"/>
    <w:rsid w:val="00DD41C0"/>
    <w:rsid w:val="00DE1D83"/>
    <w:rsid w:val="00E139D7"/>
    <w:rsid w:val="00E23F38"/>
    <w:rsid w:val="00E8191A"/>
    <w:rsid w:val="00EA3CFF"/>
    <w:rsid w:val="00ED036B"/>
    <w:rsid w:val="00F54D3A"/>
    <w:rsid w:val="00F87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51F8"/>
  <w15:chartTrackingRefBased/>
  <w15:docId w15:val="{1802ECE4-12A4-4616-A714-ED0DA023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F38"/>
  </w:style>
  <w:style w:type="paragraph" w:styleId="Heading1">
    <w:name w:val="heading 1"/>
    <w:basedOn w:val="Normal"/>
    <w:next w:val="Normal"/>
    <w:link w:val="Heading1Char"/>
    <w:uiPriority w:val="9"/>
    <w:qFormat/>
    <w:rsid w:val="007A4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BF4"/>
    <w:rPr>
      <w:rFonts w:eastAsiaTheme="majorEastAsia" w:cstheme="majorBidi"/>
      <w:color w:val="272727" w:themeColor="text1" w:themeTint="D8"/>
    </w:rPr>
  </w:style>
  <w:style w:type="paragraph" w:styleId="Title">
    <w:name w:val="Title"/>
    <w:basedOn w:val="Normal"/>
    <w:next w:val="Normal"/>
    <w:link w:val="TitleChar"/>
    <w:uiPriority w:val="10"/>
    <w:qFormat/>
    <w:rsid w:val="007A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BF4"/>
    <w:pPr>
      <w:spacing w:before="160"/>
      <w:jc w:val="center"/>
    </w:pPr>
    <w:rPr>
      <w:i/>
      <w:iCs/>
      <w:color w:val="404040" w:themeColor="text1" w:themeTint="BF"/>
    </w:rPr>
  </w:style>
  <w:style w:type="character" w:customStyle="1" w:styleId="QuoteChar">
    <w:name w:val="Quote Char"/>
    <w:basedOn w:val="DefaultParagraphFont"/>
    <w:link w:val="Quote"/>
    <w:uiPriority w:val="29"/>
    <w:rsid w:val="007A4BF4"/>
    <w:rPr>
      <w:i/>
      <w:iCs/>
      <w:color w:val="404040" w:themeColor="text1" w:themeTint="BF"/>
    </w:rPr>
  </w:style>
  <w:style w:type="paragraph" w:styleId="ListParagraph">
    <w:name w:val="List Paragraph"/>
    <w:basedOn w:val="Normal"/>
    <w:uiPriority w:val="34"/>
    <w:qFormat/>
    <w:rsid w:val="007A4BF4"/>
    <w:pPr>
      <w:ind w:left="720"/>
      <w:contextualSpacing/>
    </w:pPr>
  </w:style>
  <w:style w:type="character" w:styleId="IntenseEmphasis">
    <w:name w:val="Intense Emphasis"/>
    <w:basedOn w:val="DefaultParagraphFont"/>
    <w:uiPriority w:val="21"/>
    <w:qFormat/>
    <w:rsid w:val="007A4BF4"/>
    <w:rPr>
      <w:i/>
      <w:iCs/>
      <w:color w:val="2F5496" w:themeColor="accent1" w:themeShade="BF"/>
    </w:rPr>
  </w:style>
  <w:style w:type="paragraph" w:styleId="IntenseQuote">
    <w:name w:val="Intense Quote"/>
    <w:basedOn w:val="Normal"/>
    <w:next w:val="Normal"/>
    <w:link w:val="IntenseQuoteChar"/>
    <w:uiPriority w:val="30"/>
    <w:qFormat/>
    <w:rsid w:val="007A4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BF4"/>
    <w:rPr>
      <w:i/>
      <w:iCs/>
      <w:color w:val="2F5496" w:themeColor="accent1" w:themeShade="BF"/>
    </w:rPr>
  </w:style>
  <w:style w:type="character" w:styleId="IntenseReference">
    <w:name w:val="Intense Reference"/>
    <w:basedOn w:val="DefaultParagraphFont"/>
    <w:uiPriority w:val="32"/>
    <w:qFormat/>
    <w:rsid w:val="007A4BF4"/>
    <w:rPr>
      <w:b/>
      <w:bCs/>
      <w:smallCaps/>
      <w:color w:val="2F5496" w:themeColor="accent1" w:themeShade="BF"/>
      <w:spacing w:val="5"/>
    </w:rPr>
  </w:style>
  <w:style w:type="table" w:styleId="TableGrid">
    <w:name w:val="Table Grid"/>
    <w:basedOn w:val="TableNormal"/>
    <w:uiPriority w:val="39"/>
    <w:rsid w:val="00E23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537212">
      <w:bodyDiv w:val="1"/>
      <w:marLeft w:val="0"/>
      <w:marRight w:val="0"/>
      <w:marTop w:val="0"/>
      <w:marBottom w:val="0"/>
      <w:divBdr>
        <w:top w:val="none" w:sz="0" w:space="0" w:color="auto"/>
        <w:left w:val="none" w:sz="0" w:space="0" w:color="auto"/>
        <w:bottom w:val="none" w:sz="0" w:space="0" w:color="auto"/>
        <w:right w:val="none" w:sz="0" w:space="0" w:color="auto"/>
      </w:divBdr>
      <w:divsChild>
        <w:div w:id="2132359122">
          <w:marLeft w:val="0"/>
          <w:marRight w:val="0"/>
          <w:marTop w:val="0"/>
          <w:marBottom w:val="0"/>
          <w:divBdr>
            <w:top w:val="none" w:sz="0" w:space="0" w:color="auto"/>
            <w:left w:val="none" w:sz="0" w:space="0" w:color="auto"/>
            <w:bottom w:val="none" w:sz="0" w:space="0" w:color="auto"/>
            <w:right w:val="none" w:sz="0" w:space="0" w:color="auto"/>
          </w:divBdr>
        </w:div>
      </w:divsChild>
    </w:div>
    <w:div w:id="634605964">
      <w:bodyDiv w:val="1"/>
      <w:marLeft w:val="0"/>
      <w:marRight w:val="0"/>
      <w:marTop w:val="0"/>
      <w:marBottom w:val="0"/>
      <w:divBdr>
        <w:top w:val="none" w:sz="0" w:space="0" w:color="auto"/>
        <w:left w:val="none" w:sz="0" w:space="0" w:color="auto"/>
        <w:bottom w:val="none" w:sz="0" w:space="0" w:color="auto"/>
        <w:right w:val="none" w:sz="0" w:space="0" w:color="auto"/>
      </w:divBdr>
      <w:divsChild>
        <w:div w:id="770781355">
          <w:marLeft w:val="0"/>
          <w:marRight w:val="0"/>
          <w:marTop w:val="0"/>
          <w:marBottom w:val="0"/>
          <w:divBdr>
            <w:top w:val="none" w:sz="0" w:space="0" w:color="auto"/>
            <w:left w:val="none" w:sz="0" w:space="0" w:color="auto"/>
            <w:bottom w:val="none" w:sz="0" w:space="0" w:color="auto"/>
            <w:right w:val="none" w:sz="0" w:space="0" w:color="auto"/>
          </w:divBdr>
        </w:div>
      </w:divsChild>
    </w:div>
    <w:div w:id="982807242">
      <w:bodyDiv w:val="1"/>
      <w:marLeft w:val="0"/>
      <w:marRight w:val="0"/>
      <w:marTop w:val="0"/>
      <w:marBottom w:val="0"/>
      <w:divBdr>
        <w:top w:val="none" w:sz="0" w:space="0" w:color="auto"/>
        <w:left w:val="none" w:sz="0" w:space="0" w:color="auto"/>
        <w:bottom w:val="none" w:sz="0" w:space="0" w:color="auto"/>
        <w:right w:val="none" w:sz="0" w:space="0" w:color="auto"/>
      </w:divBdr>
      <w:divsChild>
        <w:div w:id="489489983">
          <w:marLeft w:val="0"/>
          <w:marRight w:val="0"/>
          <w:marTop w:val="0"/>
          <w:marBottom w:val="0"/>
          <w:divBdr>
            <w:top w:val="none" w:sz="0" w:space="0" w:color="auto"/>
            <w:left w:val="none" w:sz="0" w:space="0" w:color="auto"/>
            <w:bottom w:val="none" w:sz="0" w:space="0" w:color="auto"/>
            <w:right w:val="none" w:sz="0" w:space="0" w:color="auto"/>
          </w:divBdr>
        </w:div>
      </w:divsChild>
    </w:div>
    <w:div w:id="1206717364">
      <w:bodyDiv w:val="1"/>
      <w:marLeft w:val="0"/>
      <w:marRight w:val="0"/>
      <w:marTop w:val="0"/>
      <w:marBottom w:val="0"/>
      <w:divBdr>
        <w:top w:val="none" w:sz="0" w:space="0" w:color="auto"/>
        <w:left w:val="none" w:sz="0" w:space="0" w:color="auto"/>
        <w:bottom w:val="none" w:sz="0" w:space="0" w:color="auto"/>
        <w:right w:val="none" w:sz="0" w:space="0" w:color="auto"/>
      </w:divBdr>
      <w:divsChild>
        <w:div w:id="1831405967">
          <w:marLeft w:val="0"/>
          <w:marRight w:val="0"/>
          <w:marTop w:val="0"/>
          <w:marBottom w:val="0"/>
          <w:divBdr>
            <w:top w:val="none" w:sz="0" w:space="0" w:color="auto"/>
            <w:left w:val="none" w:sz="0" w:space="0" w:color="auto"/>
            <w:bottom w:val="none" w:sz="0" w:space="0" w:color="auto"/>
            <w:right w:val="none" w:sz="0" w:space="0" w:color="auto"/>
          </w:divBdr>
        </w:div>
      </w:divsChild>
    </w:div>
    <w:div w:id="1265110377">
      <w:bodyDiv w:val="1"/>
      <w:marLeft w:val="0"/>
      <w:marRight w:val="0"/>
      <w:marTop w:val="0"/>
      <w:marBottom w:val="0"/>
      <w:divBdr>
        <w:top w:val="none" w:sz="0" w:space="0" w:color="auto"/>
        <w:left w:val="none" w:sz="0" w:space="0" w:color="auto"/>
        <w:bottom w:val="none" w:sz="0" w:space="0" w:color="auto"/>
        <w:right w:val="none" w:sz="0" w:space="0" w:color="auto"/>
      </w:divBdr>
      <w:divsChild>
        <w:div w:id="707029371">
          <w:marLeft w:val="0"/>
          <w:marRight w:val="0"/>
          <w:marTop w:val="0"/>
          <w:marBottom w:val="0"/>
          <w:divBdr>
            <w:top w:val="none" w:sz="0" w:space="0" w:color="auto"/>
            <w:left w:val="none" w:sz="0" w:space="0" w:color="auto"/>
            <w:bottom w:val="none" w:sz="0" w:space="0" w:color="auto"/>
            <w:right w:val="none" w:sz="0" w:space="0" w:color="auto"/>
          </w:divBdr>
        </w:div>
      </w:divsChild>
    </w:div>
    <w:div w:id="1287128682">
      <w:bodyDiv w:val="1"/>
      <w:marLeft w:val="0"/>
      <w:marRight w:val="0"/>
      <w:marTop w:val="0"/>
      <w:marBottom w:val="0"/>
      <w:divBdr>
        <w:top w:val="none" w:sz="0" w:space="0" w:color="auto"/>
        <w:left w:val="none" w:sz="0" w:space="0" w:color="auto"/>
        <w:bottom w:val="none" w:sz="0" w:space="0" w:color="auto"/>
        <w:right w:val="none" w:sz="0" w:space="0" w:color="auto"/>
      </w:divBdr>
    </w:div>
    <w:div w:id="1590701518">
      <w:bodyDiv w:val="1"/>
      <w:marLeft w:val="0"/>
      <w:marRight w:val="0"/>
      <w:marTop w:val="0"/>
      <w:marBottom w:val="0"/>
      <w:divBdr>
        <w:top w:val="none" w:sz="0" w:space="0" w:color="auto"/>
        <w:left w:val="none" w:sz="0" w:space="0" w:color="auto"/>
        <w:bottom w:val="none" w:sz="0" w:space="0" w:color="auto"/>
        <w:right w:val="none" w:sz="0" w:space="0" w:color="auto"/>
      </w:divBdr>
      <w:divsChild>
        <w:div w:id="1206215042">
          <w:marLeft w:val="0"/>
          <w:marRight w:val="0"/>
          <w:marTop w:val="0"/>
          <w:marBottom w:val="0"/>
          <w:divBdr>
            <w:top w:val="none" w:sz="0" w:space="0" w:color="auto"/>
            <w:left w:val="none" w:sz="0" w:space="0" w:color="auto"/>
            <w:bottom w:val="none" w:sz="0" w:space="0" w:color="auto"/>
            <w:right w:val="none" w:sz="0" w:space="0" w:color="auto"/>
          </w:divBdr>
        </w:div>
      </w:divsChild>
    </w:div>
    <w:div w:id="1605571113">
      <w:bodyDiv w:val="1"/>
      <w:marLeft w:val="0"/>
      <w:marRight w:val="0"/>
      <w:marTop w:val="0"/>
      <w:marBottom w:val="0"/>
      <w:divBdr>
        <w:top w:val="none" w:sz="0" w:space="0" w:color="auto"/>
        <w:left w:val="none" w:sz="0" w:space="0" w:color="auto"/>
        <w:bottom w:val="none" w:sz="0" w:space="0" w:color="auto"/>
        <w:right w:val="none" w:sz="0" w:space="0" w:color="auto"/>
      </w:divBdr>
    </w:div>
    <w:div w:id="1790857495">
      <w:bodyDiv w:val="1"/>
      <w:marLeft w:val="0"/>
      <w:marRight w:val="0"/>
      <w:marTop w:val="0"/>
      <w:marBottom w:val="0"/>
      <w:divBdr>
        <w:top w:val="none" w:sz="0" w:space="0" w:color="auto"/>
        <w:left w:val="none" w:sz="0" w:space="0" w:color="auto"/>
        <w:bottom w:val="none" w:sz="0" w:space="0" w:color="auto"/>
        <w:right w:val="none" w:sz="0" w:space="0" w:color="auto"/>
      </w:divBdr>
    </w:div>
    <w:div w:id="1891959128">
      <w:bodyDiv w:val="1"/>
      <w:marLeft w:val="0"/>
      <w:marRight w:val="0"/>
      <w:marTop w:val="0"/>
      <w:marBottom w:val="0"/>
      <w:divBdr>
        <w:top w:val="none" w:sz="0" w:space="0" w:color="auto"/>
        <w:left w:val="none" w:sz="0" w:space="0" w:color="auto"/>
        <w:bottom w:val="none" w:sz="0" w:space="0" w:color="auto"/>
        <w:right w:val="none" w:sz="0" w:space="0" w:color="auto"/>
      </w:divBdr>
    </w:div>
    <w:div w:id="192160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umashankerkethavat@outlook.com</dc:creator>
  <cp:keywords/>
  <dc:description/>
  <cp:lastModifiedBy>umashankerkethavat@outlook.com</cp:lastModifiedBy>
  <cp:revision>45</cp:revision>
  <dcterms:created xsi:type="dcterms:W3CDTF">2025-03-28T08:14:00Z</dcterms:created>
  <dcterms:modified xsi:type="dcterms:W3CDTF">2025-03-29T08:45:00Z</dcterms:modified>
</cp:coreProperties>
</file>