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5231EF">
        <w:rPr>
          <w:rFonts w:ascii="Arial" w:hAnsi="Arial" w:cs="Arial"/>
          <w:b/>
          <w:bCs/>
          <w:sz w:val="21"/>
          <w:szCs w:val="21"/>
        </w:rPr>
        <w:t>Brexit</w:t>
      </w:r>
      <w:proofErr w:type="spellEnd"/>
      <w:r w:rsidRPr="005231EF">
        <w:rPr>
          <w:rFonts w:ascii="Arial" w:hAnsi="Arial" w:cs="Arial"/>
          <w:sz w:val="21"/>
          <w:szCs w:val="21"/>
        </w:rPr>
        <w:t> is the impending </w:t>
      </w:r>
      <w:hyperlink r:id="rId4" w:tooltip="Withdrawal from the European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withdrawal</w:t>
        </w:r>
      </w:hyperlink>
      <w:r w:rsidRPr="005231EF">
        <w:rPr>
          <w:rFonts w:ascii="Arial" w:hAnsi="Arial" w:cs="Arial"/>
          <w:sz w:val="21"/>
          <w:szCs w:val="21"/>
        </w:rPr>
        <w:t> of the </w:t>
      </w:r>
      <w:hyperlink r:id="rId5" w:tooltip="United Kingdom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United Kingdom</w:t>
        </w:r>
      </w:hyperlink>
      <w:r w:rsidRPr="005231EF">
        <w:rPr>
          <w:rFonts w:ascii="Arial" w:hAnsi="Arial" w:cs="Arial"/>
          <w:sz w:val="21"/>
          <w:szCs w:val="21"/>
        </w:rPr>
        <w:t> (UK) from the </w:t>
      </w:r>
      <w:hyperlink r:id="rId6" w:tooltip="European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Union</w:t>
        </w:r>
      </w:hyperlink>
      <w:r w:rsidRPr="005231EF">
        <w:rPr>
          <w:rFonts w:ascii="Arial" w:hAnsi="Arial" w:cs="Arial"/>
          <w:sz w:val="21"/>
          <w:szCs w:val="21"/>
        </w:rPr>
        <w:t> (EU). In a </w:t>
      </w:r>
      <w:hyperlink r:id="rId7" w:tooltip="United Kingdom European Union membership referendum, 2016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referendum on 23 June 2016</w:t>
        </w:r>
      </w:hyperlink>
      <w:r w:rsidRPr="005231EF">
        <w:rPr>
          <w:rFonts w:ascii="Arial" w:hAnsi="Arial" w:cs="Arial"/>
          <w:sz w:val="21"/>
          <w:szCs w:val="21"/>
        </w:rPr>
        <w:t>, a majority of British voters supported leaving the EU. On 29 March 2017, the </w:t>
      </w:r>
      <w:hyperlink r:id="rId8" w:tooltip="Government of the United Kingdom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UK government</w:t>
        </w:r>
      </w:hyperlink>
      <w:r>
        <w:rPr>
          <w:rFonts w:ascii="Arial" w:hAnsi="Arial" w:cs="Arial"/>
          <w:sz w:val="21"/>
          <w:szCs w:val="21"/>
        </w:rPr>
        <w:t xml:space="preserve"> </w:t>
      </w:r>
      <w:r w:rsidRPr="005231EF">
        <w:rPr>
          <w:rFonts w:ascii="Arial" w:hAnsi="Arial" w:cs="Arial"/>
          <w:sz w:val="21"/>
          <w:szCs w:val="21"/>
        </w:rPr>
        <w:t>invoked </w:t>
      </w:r>
      <w:hyperlink r:id="rId9" w:tooltip="Article 50 of the Treaty on European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Article 50 of the Treaty on European Union</w:t>
        </w:r>
      </w:hyperlink>
      <w:r w:rsidRPr="005231EF">
        <w:rPr>
          <w:rFonts w:ascii="Arial" w:hAnsi="Arial" w:cs="Arial"/>
          <w:sz w:val="21"/>
          <w:szCs w:val="21"/>
        </w:rPr>
        <w:t>. The </w:t>
      </w:r>
      <w:hyperlink r:id="rId10" w:tooltip="European Union (Withdrawal) Act 2018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Union (Withdrawal) Act 2018</w:t>
        </w:r>
      </w:hyperlink>
      <w:r w:rsidRPr="005231EF">
        <w:rPr>
          <w:rFonts w:ascii="Arial" w:hAnsi="Arial" w:cs="Arial"/>
          <w:sz w:val="21"/>
          <w:szCs w:val="21"/>
        </w:rPr>
        <w:t> declares "exit day" to be 29 March 2019 at 11</w:t>
      </w:r>
      <w:r w:rsidRPr="005231EF">
        <w:rPr>
          <w:rStyle w:val="nowrap"/>
          <w:rFonts w:ascii="Arial" w:hAnsi="Arial" w:cs="Arial"/>
          <w:sz w:val="21"/>
          <w:szCs w:val="21"/>
        </w:rPr>
        <w:t> </w:t>
      </w:r>
      <w:r w:rsidRPr="005231EF">
        <w:rPr>
          <w:rFonts w:ascii="Arial" w:hAnsi="Arial" w:cs="Arial"/>
          <w:sz w:val="21"/>
          <w:szCs w:val="21"/>
        </w:rPr>
        <w:t>p.m. </w:t>
      </w:r>
      <w:r>
        <w:rPr>
          <w:rFonts w:ascii="Arial" w:hAnsi="Arial" w:cs="Arial"/>
          <w:sz w:val="21"/>
          <w:szCs w:val="21"/>
        </w:rPr>
        <w:t>(</w:t>
      </w:r>
      <w:hyperlink r:id="rId11" w:tooltip="Central European Time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Central European Time</w:t>
        </w:r>
      </w:hyperlink>
      <w:r w:rsidRPr="005231EF">
        <w:rPr>
          <w:rFonts w:ascii="Arial" w:hAnsi="Arial" w:cs="Arial"/>
          <w:sz w:val="21"/>
          <w:szCs w:val="21"/>
        </w:rPr>
        <w:t>).</w:t>
      </w:r>
    </w:p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231EF">
        <w:rPr>
          <w:rFonts w:ascii="Arial" w:hAnsi="Arial" w:cs="Arial"/>
          <w:sz w:val="21"/>
          <w:szCs w:val="21"/>
        </w:rPr>
        <w:t>Prime Minister </w:t>
      </w:r>
      <w:hyperlink r:id="rId12" w:tooltip="Theresa May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Theresa May</w:t>
        </w:r>
      </w:hyperlink>
      <w:r w:rsidRPr="005231EF">
        <w:rPr>
          <w:rFonts w:ascii="Arial" w:hAnsi="Arial" w:cs="Arial"/>
          <w:sz w:val="21"/>
          <w:szCs w:val="21"/>
        </w:rPr>
        <w:t> announced the government's intention not to seek permanent membership of the </w:t>
      </w:r>
      <w:hyperlink r:id="rId13" w:tooltip="European single market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single market</w:t>
        </w:r>
      </w:hyperlink>
      <w:r w:rsidRPr="005231EF">
        <w:rPr>
          <w:rFonts w:ascii="Arial" w:hAnsi="Arial" w:cs="Arial"/>
          <w:sz w:val="21"/>
          <w:szCs w:val="21"/>
        </w:rPr>
        <w:t> or the </w:t>
      </w:r>
      <w:hyperlink r:id="rId14" w:tooltip="European Union Customs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 customs union</w:t>
        </w:r>
      </w:hyperlink>
      <w:r w:rsidRPr="005231EF">
        <w:rPr>
          <w:rFonts w:ascii="Arial" w:hAnsi="Arial" w:cs="Arial"/>
          <w:sz w:val="21"/>
          <w:szCs w:val="21"/>
        </w:rPr>
        <w:t> after leaving the EU</w:t>
      </w:r>
      <w:r w:rsidRPr="005231EF">
        <w:rPr>
          <w:rFonts w:ascii="Arial" w:hAnsi="Arial" w:cs="Arial"/>
          <w:sz w:val="21"/>
          <w:szCs w:val="21"/>
        </w:rPr>
        <w:t xml:space="preserve"> </w:t>
      </w:r>
      <w:r w:rsidRPr="005231EF">
        <w:rPr>
          <w:rFonts w:ascii="Arial" w:hAnsi="Arial" w:cs="Arial"/>
          <w:sz w:val="21"/>
          <w:szCs w:val="21"/>
        </w:rPr>
        <w:t>and promised to </w:t>
      </w:r>
      <w:hyperlink r:id="rId15" w:tooltip="European Union (Withdrawal) Bill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repeal</w:t>
        </w:r>
      </w:hyperlink>
      <w:r w:rsidRPr="005231EF">
        <w:rPr>
          <w:rFonts w:ascii="Arial" w:hAnsi="Arial" w:cs="Arial"/>
          <w:sz w:val="21"/>
          <w:szCs w:val="21"/>
        </w:rPr>
        <w:t> the </w:t>
      </w:r>
      <w:hyperlink r:id="rId16" w:tooltip="European Communities Act 1972 (UK)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Communities Act of 1972</w:t>
        </w:r>
      </w:hyperlink>
      <w:r w:rsidRPr="005231EF">
        <w:rPr>
          <w:rFonts w:ascii="Arial" w:hAnsi="Arial" w:cs="Arial"/>
          <w:sz w:val="21"/>
          <w:szCs w:val="21"/>
        </w:rPr>
        <w:t> and incorporate existing </w:t>
      </w:r>
      <w:hyperlink r:id="rId17" w:tooltip="European Union law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Union law</w:t>
        </w:r>
      </w:hyperlink>
      <w:r w:rsidRPr="005231EF">
        <w:rPr>
          <w:rFonts w:ascii="Arial" w:hAnsi="Arial" w:cs="Arial"/>
          <w:sz w:val="21"/>
          <w:szCs w:val="21"/>
        </w:rPr>
        <w:t> into </w:t>
      </w:r>
      <w:hyperlink r:id="rId18" w:tooltip="Law of the United Kingdom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UK domestic law</w:t>
        </w:r>
      </w:hyperlink>
      <w:r>
        <w:rPr>
          <w:rFonts w:ascii="Arial" w:hAnsi="Arial" w:cs="Arial"/>
          <w:sz w:val="21"/>
          <w:szCs w:val="21"/>
        </w:rPr>
        <w:t>.</w:t>
      </w:r>
      <w:r w:rsidRPr="005231EF">
        <w:rPr>
          <w:rFonts w:ascii="Arial" w:hAnsi="Arial" w:cs="Arial"/>
          <w:sz w:val="21"/>
          <w:szCs w:val="21"/>
        </w:rPr>
        <w:t> A new government department, the </w:t>
      </w:r>
      <w:hyperlink r:id="rId19" w:tooltip="Department for Exiting the European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Department for Exiting the European Union</w:t>
        </w:r>
      </w:hyperlink>
      <w:r w:rsidRPr="005231EF">
        <w:rPr>
          <w:rFonts w:ascii="Arial" w:hAnsi="Arial" w:cs="Arial"/>
          <w:sz w:val="21"/>
          <w:szCs w:val="21"/>
        </w:rPr>
        <w:t>, was created in July 2016.</w:t>
      </w:r>
    </w:p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hyperlink r:id="rId20" w:tooltip="Brexit negotiations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Negotiations with the EU</w:t>
        </w:r>
      </w:hyperlink>
      <w:r w:rsidRPr="005231EF">
        <w:rPr>
          <w:rFonts w:ascii="Arial" w:hAnsi="Arial" w:cs="Arial"/>
          <w:sz w:val="21"/>
          <w:szCs w:val="21"/>
        </w:rPr>
        <w:t> officially started in June 2017, aiming to complete the withdrawal agreement by October 2018. In June 2018, the UK and the EU published a joint progress report outlining agreement on issues including </w:t>
      </w:r>
      <w:hyperlink r:id="rId21" w:tooltip="Customs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customs</w:t>
        </w:r>
      </w:hyperlink>
      <w:r w:rsidRPr="005231EF">
        <w:rPr>
          <w:rFonts w:ascii="Arial" w:hAnsi="Arial" w:cs="Arial"/>
          <w:sz w:val="21"/>
          <w:szCs w:val="21"/>
        </w:rPr>
        <w:t>, </w:t>
      </w:r>
      <w:hyperlink r:id="rId22" w:tooltip="Value-added tax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VAT</w:t>
        </w:r>
      </w:hyperlink>
      <w:r w:rsidRPr="005231EF">
        <w:rPr>
          <w:rFonts w:ascii="Arial" w:hAnsi="Arial" w:cs="Arial"/>
          <w:sz w:val="21"/>
          <w:szCs w:val="21"/>
        </w:rPr>
        <w:t> and </w:t>
      </w:r>
      <w:proofErr w:type="spellStart"/>
      <w:r w:rsidRPr="005231EF">
        <w:rPr>
          <w:rFonts w:ascii="Arial" w:hAnsi="Arial" w:cs="Arial"/>
          <w:sz w:val="21"/>
          <w:szCs w:val="21"/>
        </w:rPr>
        <w:fldChar w:fldCharType="begin"/>
      </w:r>
      <w:r w:rsidRPr="005231EF">
        <w:rPr>
          <w:rFonts w:ascii="Arial" w:hAnsi="Arial" w:cs="Arial"/>
          <w:sz w:val="21"/>
          <w:szCs w:val="21"/>
        </w:rPr>
        <w:instrText xml:space="preserve"> HYPERLINK "https://en.wikipedia.org/wiki/Euratom_Treaty" \o "Euratom Treaty" </w:instrText>
      </w:r>
      <w:r w:rsidRPr="005231EF">
        <w:rPr>
          <w:rFonts w:ascii="Arial" w:hAnsi="Arial" w:cs="Arial"/>
          <w:sz w:val="21"/>
          <w:szCs w:val="21"/>
        </w:rPr>
        <w:fldChar w:fldCharType="separate"/>
      </w:r>
      <w:r w:rsidRPr="005231EF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Euratom</w:t>
      </w:r>
      <w:proofErr w:type="spellEnd"/>
      <w:r w:rsidRPr="005231EF">
        <w:rPr>
          <w:rFonts w:ascii="Arial" w:hAnsi="Arial" w:cs="Arial"/>
          <w:sz w:val="21"/>
          <w:szCs w:val="21"/>
        </w:rPr>
        <w:fldChar w:fldCharType="end"/>
      </w:r>
      <w:r w:rsidRPr="005231EF">
        <w:rPr>
          <w:rFonts w:ascii="Arial" w:hAnsi="Arial" w:cs="Arial"/>
          <w:sz w:val="21"/>
          <w:szCs w:val="21"/>
        </w:rPr>
        <w:t>.</w:t>
      </w:r>
    </w:p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231EF">
        <w:rPr>
          <w:rFonts w:ascii="Arial" w:hAnsi="Arial" w:cs="Arial"/>
          <w:sz w:val="21"/>
          <w:szCs w:val="21"/>
        </w:rPr>
        <w:t>The UK joined the </w:t>
      </w:r>
      <w:hyperlink r:id="rId23" w:tooltip="European Communities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Communities</w:t>
        </w:r>
      </w:hyperlink>
      <w:r w:rsidRPr="005231EF">
        <w:rPr>
          <w:rFonts w:ascii="Arial" w:hAnsi="Arial" w:cs="Arial"/>
          <w:sz w:val="21"/>
          <w:szCs w:val="21"/>
        </w:rPr>
        <w:t> (EC) in 1973, with membership confirmed by a </w:t>
      </w:r>
      <w:hyperlink r:id="rId24" w:tooltip="United Kingdom European Communities membership referendum, 1975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referendum in 1975</w:t>
        </w:r>
      </w:hyperlink>
      <w:r w:rsidRPr="005231EF">
        <w:rPr>
          <w:rFonts w:ascii="Arial" w:hAnsi="Arial" w:cs="Arial"/>
          <w:sz w:val="21"/>
          <w:szCs w:val="21"/>
        </w:rPr>
        <w:t>. In the 1970s and 1980s, withdrawal from the EC was advocated mainly by </w:t>
      </w:r>
      <w:proofErr w:type="spellStart"/>
      <w:r w:rsidRPr="005231EF">
        <w:rPr>
          <w:rFonts w:ascii="Arial" w:hAnsi="Arial" w:cs="Arial"/>
          <w:sz w:val="21"/>
          <w:szCs w:val="21"/>
        </w:rPr>
        <w:fldChar w:fldCharType="begin"/>
      </w:r>
      <w:r w:rsidRPr="005231EF">
        <w:rPr>
          <w:rFonts w:ascii="Arial" w:hAnsi="Arial" w:cs="Arial"/>
          <w:sz w:val="21"/>
          <w:szCs w:val="21"/>
        </w:rPr>
        <w:instrText xml:space="preserve"> HYPERLINK "https://en.wikipedia.org/wiki/Labour_Party_(UK)" \o "Labour Party (UK)" </w:instrText>
      </w:r>
      <w:r w:rsidRPr="005231EF">
        <w:rPr>
          <w:rFonts w:ascii="Arial" w:hAnsi="Arial" w:cs="Arial"/>
          <w:sz w:val="21"/>
          <w:szCs w:val="21"/>
        </w:rPr>
        <w:fldChar w:fldCharType="separate"/>
      </w:r>
      <w:r w:rsidRPr="005231EF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Labour</w:t>
      </w:r>
      <w:proofErr w:type="spellEnd"/>
      <w:r w:rsidRPr="005231EF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Party</w:t>
      </w:r>
      <w:r w:rsidRPr="005231EF">
        <w:rPr>
          <w:rFonts w:ascii="Arial" w:hAnsi="Arial" w:cs="Arial"/>
          <w:sz w:val="21"/>
          <w:szCs w:val="21"/>
        </w:rPr>
        <w:fldChar w:fldCharType="end"/>
      </w:r>
      <w:r w:rsidRPr="005231EF">
        <w:rPr>
          <w:rFonts w:ascii="Arial" w:hAnsi="Arial" w:cs="Arial"/>
          <w:sz w:val="21"/>
          <w:szCs w:val="21"/>
        </w:rPr>
        <w:t> members and </w:t>
      </w:r>
      <w:hyperlink r:id="rId25" w:tooltip="Trade un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trade union</w:t>
        </w:r>
      </w:hyperlink>
      <w:r w:rsidRPr="005231EF">
        <w:rPr>
          <w:rFonts w:ascii="Arial" w:hAnsi="Arial" w:cs="Arial"/>
          <w:sz w:val="21"/>
          <w:szCs w:val="21"/>
        </w:rPr>
        <w:t> figures. From the 1990s, the main advocates of withdrawal were the newly founded </w:t>
      </w:r>
      <w:hyperlink r:id="rId26" w:tooltip="UK Independence Party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UK Independence Party</w:t>
        </w:r>
      </w:hyperlink>
      <w:r w:rsidRPr="005231EF">
        <w:rPr>
          <w:rFonts w:ascii="Arial" w:hAnsi="Arial" w:cs="Arial"/>
          <w:sz w:val="21"/>
          <w:szCs w:val="21"/>
        </w:rPr>
        <w:t> (UKIP) and an increasing number of Eurosceptic </w:t>
      </w:r>
      <w:hyperlink r:id="rId27" w:tooltip="Conservative Party (UK)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Conservative Party</w:t>
        </w:r>
      </w:hyperlink>
      <w:r w:rsidRPr="005231EF">
        <w:rPr>
          <w:rFonts w:ascii="Arial" w:hAnsi="Arial" w:cs="Arial"/>
          <w:sz w:val="21"/>
          <w:szCs w:val="21"/>
        </w:rPr>
        <w:t> members. Prime Minister </w:t>
      </w:r>
      <w:hyperlink r:id="rId28" w:tooltip="David Camer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David Cameron</w:t>
        </w:r>
      </w:hyperlink>
      <w:r w:rsidRPr="005231EF">
        <w:rPr>
          <w:rFonts w:ascii="Arial" w:hAnsi="Arial" w:cs="Arial"/>
          <w:sz w:val="21"/>
          <w:szCs w:val="21"/>
        </w:rPr>
        <w:t> held the referendum in fulfilment of a 2015 manifesto pledge. Cameron, who had campaigned for "Remain", resigned after the referendum result and was succeeded by Theresa May, who called a </w:t>
      </w:r>
      <w:hyperlink r:id="rId29" w:tooltip="United Kingdom general election, 2017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snap general election</w:t>
        </w:r>
      </w:hyperlink>
      <w:r w:rsidRPr="005231EF">
        <w:rPr>
          <w:rFonts w:ascii="Arial" w:hAnsi="Arial" w:cs="Arial"/>
          <w:sz w:val="21"/>
          <w:szCs w:val="21"/>
        </w:rPr>
        <w:t> less than a year later, in which she lost her overall majority. Her minority government is </w:t>
      </w:r>
      <w:hyperlink r:id="rId30" w:tooltip="Confidence and supply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supported in key votes</w:t>
        </w:r>
      </w:hyperlink>
      <w:r w:rsidRPr="005231EF">
        <w:rPr>
          <w:rFonts w:ascii="Arial" w:hAnsi="Arial" w:cs="Arial"/>
          <w:sz w:val="21"/>
          <w:szCs w:val="21"/>
        </w:rPr>
        <w:t> by the </w:t>
      </w:r>
      <w:hyperlink r:id="rId31" w:tooltip="Democratic Unionist Party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Democratic Unionist Party</w:t>
        </w:r>
      </w:hyperlink>
      <w:r w:rsidRPr="005231EF">
        <w:rPr>
          <w:rFonts w:ascii="Arial" w:hAnsi="Arial" w:cs="Arial"/>
          <w:sz w:val="21"/>
          <w:szCs w:val="21"/>
        </w:rPr>
        <w:t>.</w:t>
      </w:r>
    </w:p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231EF">
        <w:rPr>
          <w:rFonts w:ascii="Arial" w:hAnsi="Arial" w:cs="Arial"/>
          <w:sz w:val="21"/>
          <w:szCs w:val="21"/>
        </w:rPr>
        <w:t>Six weeks after the referendum, the Bank of England introduced </w:t>
      </w:r>
      <w:hyperlink r:id="rId32" w:tooltip="Quantitative easing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quantitative easing</w:t>
        </w:r>
      </w:hyperlink>
      <w:r w:rsidRPr="005231EF">
        <w:rPr>
          <w:rFonts w:ascii="Arial" w:hAnsi="Arial" w:cs="Arial"/>
          <w:sz w:val="21"/>
          <w:szCs w:val="21"/>
        </w:rPr>
        <w:t> and lower interest rates, thus allowing both </w:t>
      </w:r>
      <w:hyperlink r:id="rId33" w:tooltip="Depreciation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depreciation</w:t>
        </w:r>
      </w:hyperlink>
      <w:r w:rsidRPr="005231EF">
        <w:rPr>
          <w:rFonts w:ascii="Arial" w:hAnsi="Arial" w:cs="Arial"/>
          <w:sz w:val="21"/>
          <w:szCs w:val="21"/>
        </w:rPr>
        <w:t> of </w:t>
      </w:r>
      <w:hyperlink r:id="rId34" w:tooltip="Pound sterling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sterling</w:t>
        </w:r>
      </w:hyperlink>
      <w:r w:rsidRPr="005231EF">
        <w:rPr>
          <w:rFonts w:ascii="Arial" w:hAnsi="Arial" w:cs="Arial"/>
          <w:sz w:val="21"/>
          <w:szCs w:val="21"/>
        </w:rPr>
        <w:t xml:space="preserve"> and a rise in inflation that outpaced wage growth for most of 2017. The drop in the value of sterling has been claimed to have been caused in part by hedge-fund managers betting on </w:t>
      </w:r>
      <w:proofErr w:type="spellStart"/>
      <w:r w:rsidRPr="005231EF">
        <w:rPr>
          <w:rFonts w:ascii="Arial" w:hAnsi="Arial" w:cs="Arial"/>
          <w:sz w:val="21"/>
          <w:szCs w:val="21"/>
        </w:rPr>
        <w:t>Brexit</w:t>
      </w:r>
      <w:proofErr w:type="spellEnd"/>
      <w:r w:rsidRPr="005231EF">
        <w:rPr>
          <w:rFonts w:ascii="Arial" w:hAnsi="Arial" w:cs="Arial"/>
          <w:sz w:val="21"/>
          <w:szCs w:val="21"/>
        </w:rPr>
        <w:t xml:space="preserve"> against polls predicting a narrow victory for the "Remain" camp</w:t>
      </w:r>
      <w:r>
        <w:rPr>
          <w:rFonts w:ascii="Arial" w:hAnsi="Arial" w:cs="Arial"/>
          <w:sz w:val="21"/>
          <w:szCs w:val="21"/>
        </w:rPr>
        <w:t>.</w:t>
      </w:r>
      <w:r w:rsidRPr="005231EF">
        <w:rPr>
          <w:rFonts w:ascii="Arial" w:hAnsi="Arial" w:cs="Arial"/>
          <w:sz w:val="21"/>
          <w:szCs w:val="21"/>
        </w:rPr>
        <w:t xml:space="preserve"> </w:t>
      </w:r>
    </w:p>
    <w:p w:rsidR="005231EF" w:rsidRPr="005231EF" w:rsidRDefault="005231EF" w:rsidP="005231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231EF">
        <w:rPr>
          <w:rFonts w:ascii="Arial" w:hAnsi="Arial" w:cs="Arial"/>
          <w:sz w:val="21"/>
          <w:szCs w:val="21"/>
        </w:rPr>
        <w:t xml:space="preserve">There is a broad consensus in existing economic research that </w:t>
      </w:r>
      <w:proofErr w:type="spellStart"/>
      <w:r w:rsidRPr="005231EF">
        <w:rPr>
          <w:rFonts w:ascii="Arial" w:hAnsi="Arial" w:cs="Arial"/>
          <w:sz w:val="21"/>
          <w:szCs w:val="21"/>
        </w:rPr>
        <w:t>Brexit</w:t>
      </w:r>
      <w:proofErr w:type="spellEnd"/>
      <w:r w:rsidRPr="005231EF">
        <w:rPr>
          <w:rFonts w:ascii="Arial" w:hAnsi="Arial" w:cs="Arial"/>
          <w:sz w:val="21"/>
          <w:szCs w:val="21"/>
        </w:rPr>
        <w:t xml:space="preserve"> is likely to reduce the UK's real </w:t>
      </w:r>
      <w:hyperlink r:id="rId35" w:tooltip="Per capita income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per capita income</w:t>
        </w:r>
      </w:hyperlink>
      <w:r w:rsidRPr="005231EF">
        <w:rPr>
          <w:rFonts w:ascii="Arial" w:hAnsi="Arial" w:cs="Arial"/>
          <w:sz w:val="21"/>
          <w:szCs w:val="21"/>
        </w:rPr>
        <w:t> in the medium term and long term.</w:t>
      </w:r>
      <w:r w:rsidRPr="005231EF">
        <w:rPr>
          <w:rFonts w:ascii="Arial" w:hAnsi="Arial" w:cs="Arial"/>
          <w:sz w:val="21"/>
          <w:szCs w:val="21"/>
        </w:rPr>
        <w:t xml:space="preserve"> </w:t>
      </w:r>
      <w:r w:rsidRPr="005231EF">
        <w:rPr>
          <w:rFonts w:ascii="Arial" w:hAnsi="Arial" w:cs="Arial"/>
          <w:sz w:val="21"/>
          <w:szCs w:val="21"/>
        </w:rPr>
        <w:t xml:space="preserve">There is also agreement among economists that the </w:t>
      </w:r>
      <w:proofErr w:type="spellStart"/>
      <w:r w:rsidRPr="005231EF">
        <w:rPr>
          <w:rFonts w:ascii="Arial" w:hAnsi="Arial" w:cs="Arial"/>
          <w:sz w:val="21"/>
          <w:szCs w:val="21"/>
        </w:rPr>
        <w:t>Brexit</w:t>
      </w:r>
      <w:proofErr w:type="spellEnd"/>
      <w:r w:rsidRPr="005231EF">
        <w:rPr>
          <w:rFonts w:ascii="Arial" w:hAnsi="Arial" w:cs="Arial"/>
          <w:sz w:val="21"/>
          <w:szCs w:val="21"/>
        </w:rPr>
        <w:t xml:space="preserve"> referendum itself damaged the economy in the subsequent two years.</w:t>
      </w:r>
      <w:r w:rsidRPr="005231EF">
        <w:rPr>
          <w:rFonts w:ascii="Arial" w:hAnsi="Arial" w:cs="Arial"/>
          <w:sz w:val="21"/>
          <w:szCs w:val="21"/>
        </w:rPr>
        <w:t xml:space="preserve"> </w:t>
      </w:r>
      <w:r w:rsidRPr="005231EF">
        <w:rPr>
          <w:rFonts w:ascii="Arial" w:hAnsi="Arial" w:cs="Arial"/>
          <w:sz w:val="21"/>
          <w:szCs w:val="21"/>
        </w:rPr>
        <w:t xml:space="preserve">Studies on effects that have </w:t>
      </w:r>
      <w:proofErr w:type="spellStart"/>
      <w:r w:rsidRPr="005231EF">
        <w:rPr>
          <w:rFonts w:ascii="Arial" w:hAnsi="Arial" w:cs="Arial"/>
          <w:sz w:val="21"/>
          <w:szCs w:val="21"/>
        </w:rPr>
        <w:t>materialised</w:t>
      </w:r>
      <w:proofErr w:type="spellEnd"/>
      <w:r w:rsidRPr="005231EF">
        <w:rPr>
          <w:rFonts w:ascii="Arial" w:hAnsi="Arial" w:cs="Arial"/>
          <w:sz w:val="21"/>
          <w:szCs w:val="21"/>
        </w:rPr>
        <w:t xml:space="preserve"> since the referendum show annual losses of £404 for the average UK household, and losses between 1.3% and 2.1% of UK GDP. </w:t>
      </w:r>
      <w:proofErr w:type="spellStart"/>
      <w:r w:rsidRPr="005231EF">
        <w:rPr>
          <w:rFonts w:ascii="Arial" w:hAnsi="Arial" w:cs="Arial"/>
          <w:sz w:val="21"/>
          <w:szCs w:val="21"/>
        </w:rPr>
        <w:t>Brexit</w:t>
      </w:r>
      <w:proofErr w:type="spellEnd"/>
      <w:r w:rsidRPr="005231EF">
        <w:rPr>
          <w:rFonts w:ascii="Arial" w:hAnsi="Arial" w:cs="Arial"/>
          <w:sz w:val="21"/>
          <w:szCs w:val="21"/>
        </w:rPr>
        <w:t xml:space="preserve"> is likely to reduce immigration from </w:t>
      </w:r>
      <w:hyperlink r:id="rId36" w:tooltip="European Economic Area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European Economic Area</w:t>
        </w:r>
      </w:hyperlink>
      <w:r w:rsidRPr="005231EF">
        <w:rPr>
          <w:rFonts w:ascii="Arial" w:hAnsi="Arial" w:cs="Arial"/>
          <w:sz w:val="21"/>
          <w:szCs w:val="21"/>
        </w:rPr>
        <w:t> (EEA) countries to the UK, and poses challenges for UK higher education and academic research.</w:t>
      </w:r>
      <w:bookmarkStart w:id="0" w:name="_GoBack"/>
      <w:bookmarkEnd w:id="0"/>
      <w:r w:rsidRPr="005231EF">
        <w:rPr>
          <w:rFonts w:ascii="Arial" w:hAnsi="Arial" w:cs="Arial"/>
          <w:sz w:val="21"/>
          <w:szCs w:val="21"/>
        </w:rPr>
        <w:t> As of June 2018, the size of the "</w:t>
      </w:r>
      <w:hyperlink r:id="rId37" w:anchor="Divorce_bill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divorce bill</w:t>
        </w:r>
      </w:hyperlink>
      <w:r w:rsidRPr="005231EF">
        <w:rPr>
          <w:rFonts w:ascii="Arial" w:hAnsi="Arial" w:cs="Arial"/>
          <w:sz w:val="21"/>
          <w:szCs w:val="21"/>
        </w:rPr>
        <w:t>", the UK's inheritance of existing EU trade agreements, and </w:t>
      </w:r>
      <w:hyperlink r:id="rId38" w:tooltip="Ireland–United Kingdom relations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relations with Ireland</w:t>
        </w:r>
      </w:hyperlink>
      <w:r w:rsidRPr="005231EF">
        <w:rPr>
          <w:rFonts w:ascii="Arial" w:hAnsi="Arial" w:cs="Arial"/>
          <w:sz w:val="21"/>
          <w:szCs w:val="21"/>
        </w:rPr>
        <w:t> and other EU member states remain uncertain. The precise impact on the UK depends on whether the process will be a </w:t>
      </w:r>
      <w:hyperlink r:id="rId39" w:anchor="Hard_and_soft_Brexit" w:history="1"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"hard" or a "soft" </w:t>
        </w:r>
        <w:proofErr w:type="spellStart"/>
        <w:r w:rsidRPr="005231E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Brexit</w:t>
        </w:r>
        <w:proofErr w:type="spellEnd"/>
      </w:hyperlink>
      <w:r w:rsidRPr="005231EF">
        <w:rPr>
          <w:rFonts w:ascii="Arial" w:hAnsi="Arial" w:cs="Arial"/>
          <w:sz w:val="21"/>
          <w:szCs w:val="21"/>
        </w:rPr>
        <w:t>.</w:t>
      </w:r>
    </w:p>
    <w:p w:rsidR="00663CF4" w:rsidRPr="005231EF" w:rsidRDefault="005231EF"/>
    <w:sectPr w:rsidR="00663CF4" w:rsidRPr="0052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EF"/>
    <w:rsid w:val="00046733"/>
    <w:rsid w:val="005231EF"/>
    <w:rsid w:val="00D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81DA"/>
  <w15:chartTrackingRefBased/>
  <w15:docId w15:val="{4B8CD0D8-B723-43EF-8A83-4BD3A1B4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5231EF"/>
  </w:style>
  <w:style w:type="character" w:customStyle="1" w:styleId="ipa">
    <w:name w:val="ipa"/>
    <w:basedOn w:val="DefaultParagraphFont"/>
    <w:rsid w:val="005231EF"/>
  </w:style>
  <w:style w:type="character" w:styleId="Hyperlink">
    <w:name w:val="Hyperlink"/>
    <w:basedOn w:val="DefaultParagraphFont"/>
    <w:uiPriority w:val="99"/>
    <w:semiHidden/>
    <w:unhideWhenUsed/>
    <w:rsid w:val="00523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vernment_of_the_United_Kingdom" TargetMode="External"/><Relationship Id="rId13" Type="http://schemas.openxmlformats.org/officeDocument/2006/relationships/hyperlink" Target="https://en.wikipedia.org/wiki/European_single_market" TargetMode="External"/><Relationship Id="rId18" Type="http://schemas.openxmlformats.org/officeDocument/2006/relationships/hyperlink" Target="https://en.wikipedia.org/wiki/Law_of_the_United_Kingdom" TargetMode="External"/><Relationship Id="rId26" Type="http://schemas.openxmlformats.org/officeDocument/2006/relationships/hyperlink" Target="https://en.wikipedia.org/wiki/UK_Independence_Party" TargetMode="External"/><Relationship Id="rId39" Type="http://schemas.openxmlformats.org/officeDocument/2006/relationships/hyperlink" Target="https://en.wikipedia.org/wiki/Brex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ustoms" TargetMode="External"/><Relationship Id="rId34" Type="http://schemas.openxmlformats.org/officeDocument/2006/relationships/hyperlink" Target="https://en.wikipedia.org/wiki/Pound_sterling" TargetMode="External"/><Relationship Id="rId7" Type="http://schemas.openxmlformats.org/officeDocument/2006/relationships/hyperlink" Target="https://en.wikipedia.org/wiki/United_Kingdom_European_Union_membership_referendum,_2016" TargetMode="External"/><Relationship Id="rId12" Type="http://schemas.openxmlformats.org/officeDocument/2006/relationships/hyperlink" Target="https://en.wikipedia.org/wiki/Theresa_May" TargetMode="External"/><Relationship Id="rId17" Type="http://schemas.openxmlformats.org/officeDocument/2006/relationships/hyperlink" Target="https://en.wikipedia.org/wiki/European_Union_law" TargetMode="External"/><Relationship Id="rId25" Type="http://schemas.openxmlformats.org/officeDocument/2006/relationships/hyperlink" Target="https://en.wikipedia.org/wiki/Trade_union" TargetMode="External"/><Relationship Id="rId33" Type="http://schemas.openxmlformats.org/officeDocument/2006/relationships/hyperlink" Target="https://en.wikipedia.org/wiki/Depreciation" TargetMode="External"/><Relationship Id="rId38" Type="http://schemas.openxmlformats.org/officeDocument/2006/relationships/hyperlink" Target="https://en.wikipedia.org/wiki/Ireland%E2%80%93United_Kingdom_rel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uropean_Communities_Act_1972_(UK)" TargetMode="External"/><Relationship Id="rId20" Type="http://schemas.openxmlformats.org/officeDocument/2006/relationships/hyperlink" Target="https://en.wikipedia.org/wiki/Brexit_negotiations" TargetMode="External"/><Relationship Id="rId29" Type="http://schemas.openxmlformats.org/officeDocument/2006/relationships/hyperlink" Target="https://en.wikipedia.org/wiki/United_Kingdom_general_election,_2017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uropean_Union" TargetMode="External"/><Relationship Id="rId11" Type="http://schemas.openxmlformats.org/officeDocument/2006/relationships/hyperlink" Target="https://en.wikipedia.org/wiki/Central_European_Time" TargetMode="External"/><Relationship Id="rId24" Type="http://schemas.openxmlformats.org/officeDocument/2006/relationships/hyperlink" Target="https://en.wikipedia.org/wiki/United_Kingdom_European_Communities_membership_referendum,_1975" TargetMode="External"/><Relationship Id="rId32" Type="http://schemas.openxmlformats.org/officeDocument/2006/relationships/hyperlink" Target="https://en.wikipedia.org/wiki/Quantitative_easing" TargetMode="External"/><Relationship Id="rId37" Type="http://schemas.openxmlformats.org/officeDocument/2006/relationships/hyperlink" Target="https://en.wikipedia.org/wiki/Brexi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United_Kingdom" TargetMode="External"/><Relationship Id="rId15" Type="http://schemas.openxmlformats.org/officeDocument/2006/relationships/hyperlink" Target="https://en.wikipedia.org/wiki/European_Union_(Withdrawal)_Bill" TargetMode="External"/><Relationship Id="rId23" Type="http://schemas.openxmlformats.org/officeDocument/2006/relationships/hyperlink" Target="https://en.wikipedia.org/wiki/European_Communities" TargetMode="External"/><Relationship Id="rId28" Type="http://schemas.openxmlformats.org/officeDocument/2006/relationships/hyperlink" Target="https://en.wikipedia.org/wiki/David_Cameron" TargetMode="External"/><Relationship Id="rId36" Type="http://schemas.openxmlformats.org/officeDocument/2006/relationships/hyperlink" Target="https://en.wikipedia.org/wiki/European_Economic_Area" TargetMode="External"/><Relationship Id="rId10" Type="http://schemas.openxmlformats.org/officeDocument/2006/relationships/hyperlink" Target="https://en.wikipedia.org/wiki/European_Union_(Withdrawal)_Act_2018" TargetMode="External"/><Relationship Id="rId19" Type="http://schemas.openxmlformats.org/officeDocument/2006/relationships/hyperlink" Target="https://en.wikipedia.org/wiki/Department_for_Exiting_the_European_Union" TargetMode="External"/><Relationship Id="rId31" Type="http://schemas.openxmlformats.org/officeDocument/2006/relationships/hyperlink" Target="https://en.wikipedia.org/wiki/Democratic_Unionist_Party" TargetMode="External"/><Relationship Id="rId4" Type="http://schemas.openxmlformats.org/officeDocument/2006/relationships/hyperlink" Target="https://en.wikipedia.org/wiki/Withdrawal_from_the_European_Union" TargetMode="External"/><Relationship Id="rId9" Type="http://schemas.openxmlformats.org/officeDocument/2006/relationships/hyperlink" Target="https://en.wikipedia.org/wiki/Article_50_of_the_Treaty_on_European_Union" TargetMode="External"/><Relationship Id="rId14" Type="http://schemas.openxmlformats.org/officeDocument/2006/relationships/hyperlink" Target="https://en.wikipedia.org/wiki/European_Union_Customs_Union" TargetMode="External"/><Relationship Id="rId22" Type="http://schemas.openxmlformats.org/officeDocument/2006/relationships/hyperlink" Target="https://en.wikipedia.org/wiki/Value-added_tax" TargetMode="External"/><Relationship Id="rId27" Type="http://schemas.openxmlformats.org/officeDocument/2006/relationships/hyperlink" Target="https://en.wikipedia.org/wiki/Conservative_Party_(UK)" TargetMode="External"/><Relationship Id="rId30" Type="http://schemas.openxmlformats.org/officeDocument/2006/relationships/hyperlink" Target="https://en.wikipedia.org/wiki/Confidence_and_supply" TargetMode="External"/><Relationship Id="rId35" Type="http://schemas.openxmlformats.org/officeDocument/2006/relationships/hyperlink" Target="https://en.wikipedia.org/wiki/Per_capita_in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1</cp:revision>
  <dcterms:created xsi:type="dcterms:W3CDTF">2018-08-13T11:58:00Z</dcterms:created>
  <dcterms:modified xsi:type="dcterms:W3CDTF">2018-08-13T12:00:00Z</dcterms:modified>
</cp:coreProperties>
</file>