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44"/>
          <w:szCs w:val="44"/>
          <w:rtl w:val="0"/>
        </w:rPr>
        <w:t xml:space="preserve">Tuhin Sultana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114300</wp:posOffset>
            </wp:positionV>
            <wp:extent cx="1613213" cy="14684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4700" l="175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213" cy="146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2"/>
          <w:szCs w:val="22"/>
          <w:rtl w:val="0"/>
        </w:rPr>
        <w:t xml:space="preserve">Head of Marketing  |  Senior Brand Strategist &amp; Marketing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="260" w:lineRule="auto"/>
        <w:rPr>
          <w:rFonts w:ascii="Calibri" w:cs="Calibri" w:eastAsia="Calibri" w:hAnsi="Calibri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="26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01890323059  |  sultana.kabir@gmail.com  |  linkedin.com/in/tuhinsultana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="26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221 West Nakhalpara, Tejgaon, Dhaka,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6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https://tuhinsultana.github.io/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c8a" w:space="4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5c8a" w:space="4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5c8a" w:space="4" w:sz="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FMCG marketing leader with 16+ years building brands across Juice, Dairy, Snacks, Personal Care, and Cosmetics. Track record of double-digit sales growth, award-winning campaigns, and full P&amp;L ownership across multiple brand portfolios at once. Strong across ATL/BTL/digital, NPD, trade marketing, and team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Brand Strategy &amp; Portfolio Management  •  NPD  •  GTM Planning  •  Packaging &amp; Pricing  •  ATL/BTL/Digital Campaigns  •  Consumer Insights  •  Trade Marketing  •  Budget &amp; ROI Management  •  Agency Management  •  Team Leadership  •  P&amp;L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10% sales growth and +2 point market share gain in Juice at Akij Food &amp; Beverage.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Managed BDT 100+ crore portfolio across Juice, Dairy, and Snacks with full P&amp;L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the award-winning Frutika "Inspiring Purity" campaign — 2 Digital Marketing Awards (2017).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Led full GTM overhaul and relaunch of Frutika (2019–2020): repositioning, packaging, NPD, 360°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Ran Farm Fresh Children's Day activation — 22,000+ families reached annually, TOMA up 2–3% YoY.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Took Aarong Laban from concept to launch — NPD, packaging, pricing, and full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Independently launched American cosmetic brands in Bangladesh — GTM, retail, and communication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and led teams of 4–5 direct and 200+ indirect reports across multiple organisations.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Managed agencies, media houses, and production teams across simultaneous multi-brand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Frutika Islamic Genius  •  Farm Fresh Children's Day  •  Frutika Inspiring Purity  •  Frutika Breakthrough Campaign  •  Picasso Tiles Launch  •  Farm Fresh Colony Drive  •  Frutika Unveiling Purity  •  Aarong Dairy Laban  •  Tibet Soap New Packaging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Strategic Planning Head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Plan B — S. Quader Group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Dec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Lead brand strategy, portfolio planning, and integrated ATL/digital campaigns for multiple FMCG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Manage agencies, creative briefs, and ROI-focused campaign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Deputy Director – Marketing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Remark HB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Sep–Nov 2022 (Contract)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marketing strategy for NIOR (makeup &amp; skincare) — positioning, packaging,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Group Category Head / Brand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Akij Food &amp; Beverage Ltd.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2016–2021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Full P&amp;L ownership of BDT 100+ crore portfolio across Juice, Dairy, and Snacks.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NPD, packaging, pricing, and portfolio management across multiple brands.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Ran 360° campaigns across ATL/BTL/digital; delivered 10% sales growth and +2 point market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Brand Marketing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BTI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Jan–Nov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brand strategy, corporate communications, and integrated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Brand Manager / Assistant Brand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Aarong Dairy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2013–2014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Managed full NPD pipeline from concept through packaging, pricing, and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Brand Manager – Private Label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ACI Logistics (Shwapno)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Jan–Feb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Developed private-label FMCG products — sourcing, packaging, pricing, merchandising.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Sr. Brand Executive / Brand Executive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Akij Food &amp; Beverage Ltd.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2008–2013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brand campaigns and trade promotions; built core expertise in trade marketing and BTL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72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Brand Strategy Planner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2e5c8a"/>
          <w:sz w:val="22"/>
          <w:szCs w:val="22"/>
          <w:rtl w:val="0"/>
        </w:rPr>
        <w:t xml:space="preserve">  |  Roop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2007–2008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Developed brand strategy and activation plans for consumer brand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Bachelor of Business Administration (BBA) — Marketing (Major), HRM (Minor)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East West University, Dhaka  |  2003–2007  |  CGPA: 3.64 / 4.00  |  Dean's List Honour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Higher Secondary Certificate (HSC) — Business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Dhaka Commerce College  |  2001  |  First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Secondary School Certificate (SSC) —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Bharateshawi Homes High School  |  1999  |  First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PROFESSIONAL TRAINING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Brand Strategy  •  Leadership &amp; Strategic Planning  •  NPD  •  GTM  •  Digital Marketing  •  Campaign Management  •  Design Thinking  •  Finance for Non-Finance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9d6e3" w:space="4" w:sz="4" w:val="single"/>
        </w:pBdr>
        <w:spacing w:after="9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61.9999999999999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0"/>
          <w:szCs w:val="20"/>
          <w:rtl w:val="0"/>
        </w:rPr>
        <w:t xml:space="preserve">Marketing: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Consumer Insights, Market Research, Competitor Analysis, Budget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61.9999999999999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0"/>
          <w:szCs w:val="20"/>
          <w:rtl w:val="0"/>
        </w:rPr>
        <w:t xml:space="preserve">Creative &amp; Digital: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AI Tools, Photoshop, Illustrator, Canva, Digital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61.9999999999999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0"/>
          <w:szCs w:val="20"/>
          <w:rtl w:val="0"/>
        </w:rPr>
        <w:t xml:space="preserve">Software: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MS Office, 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61.9999999999999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Bengali (Fluent), English (Fluent), Hindi (Conversational)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l4724CHXD9mb45xjGkD+GlBqg==">CgMxLjA4AHIhMU1MaHhBQ3RsRlVCbWl4Vm1XVG1VZjJLN25KeTVUb3A5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