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49"/>
        <w:gridCol w:w="1901"/>
        <w:gridCol w:w="1901"/>
        <w:gridCol w:w="2024"/>
      </w:tblGrid>
      <w:tr>
        <w:trPr>
          <w:trHeight w:val="717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 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Nam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(N=4129)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Nữ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(N=4110)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Tổng cộng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(N=8239)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Tuổi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(±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22,5 (± 5,85)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22,6 (± 6,27)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22,5 (± 6,07)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 [3,00]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 [3,00]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 [3,00]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18,0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64,0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Chiều cao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(±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(± 7,99)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 (± 7,92)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(± 11,1)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[10,0]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 [11,0]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[17,0]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Cân nặng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(±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78,6 (± 7,67)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67,4 (± 5,23)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73,0 (± 8,64)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77,9 [10,0]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67,0 [6,90]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71,8 [12,0]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64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Điểm môn học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(±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2,18 (± 0,805)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2,15 (± 0,818)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2,17 (± 0,812)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2,08 [1,30]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 [1,32]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2,04 [1,32]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4,00</w:t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Năm học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Năm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794 (19,2%)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915 (22,3%)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1709 (20,7%)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Năm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709 (17,2%)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929 (22,6%)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1638 (19,9%)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Năm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726 (17,6%)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915 (22,3%)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1641 (19,9%)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Năm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633 (15,3%)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 (17,9%)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1368 (16,6%)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Năm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1267 (30,7%)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616 (15,0%)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1883 (22,9%)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Ngành học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Biology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638 (15,5%)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 (23,3%)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1597 (19,4%)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Economics and Finance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863 (20,9%)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461 (11,2%)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1324 (16,1%)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Environmental Sciences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881 (21,3%)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 (18,1%)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1626 (19,7%)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Mathematics and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949 (23,0%)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 (6,7%)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1225 (14,9%)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Political 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477 (11,6%)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978 (23,8%)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1455 (17,7%)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Social Sciences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 (7,8%)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691 (16,8%)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1012 (12,3%)</w:t>
            </w:r>
          </w:p>
        </w:tc>
      </w:tr>
      <w:tr>
        <w:trPr>
          <w:trHeight w:val="6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Tốt nghiệp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3050 (73,9%)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3436 (83,6%)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6486 (78,7%)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1079 (26,1%)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674 (16,4%)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1753 (21,3%)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Chi phí sinh hoạt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(±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46600 (± 9660)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36000 (± 7730)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42500 (± 10300)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46000 [13500]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35700 [10700]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41700 [14200]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75600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3050 (73,9%)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3436 (83,6%)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6486 (78,7%)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2026-08-18T20:10:20Z</dcterms:modified>
  <cp:category/>
</cp:coreProperties>
</file>