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0" w:firstLineChars="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  <w:ind w:firstLine="0" w:firstLineChars="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  <w:ind w:firstLine="0" w:firstLineChars="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  <w:ind w:firstLine="0" w:firstLineChars="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pStyle w:val="Title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全能办公助手插件</w:t>
      </w:r>
    </w:p>
    <w:p>
      <w:pPr>
        <w:pStyle w:val="Subtitle"/>
      </w:pPr>
      <w:r>
        <w:rPr>
          <w:rFonts w:ascii="Times New Roman" w:hAnsi="Times New Roman" w:eastAsia="楷体"/>
          <w:b w:val="0"/>
          <w:color w:val="000000"/>
          <w:sz w:val="24"/>
        </w:rPr>
        <w:t>项目计划书（V1.0 草案）</w:t>
      </w:r>
    </w:p>
    <w:p>
      <w:pPr>
        <w:spacing w:before="0" w:after="0"/>
        <w:ind w:firstLine="0" w:firstLineChars="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  <w:ind w:firstLine="0" w:firstLineChars="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  <w:ind w:firstLine="0" w:firstLineChars="0"/>
        <w:jc w:val="center"/>
      </w:pPr>
      <w:r>
        <w:rPr>
          <w:rFonts w:ascii="Times New Roman" w:hAnsi="Times New Roman" w:eastAsia="宋体"/>
          <w:b w:val="0"/>
          <w:sz w:val="24"/>
        </w:rPr>
        <w:t>项目名称：全能办公助手插件</w:t>
      </w:r>
    </w:p>
    <w:p>
      <w:pPr>
        <w:spacing w:before="0" w:after="0"/>
        <w:ind w:firstLine="0" w:firstLineChars="0"/>
        <w:jc w:val="center"/>
      </w:pPr>
      <w:r>
        <w:rPr>
          <w:rFonts w:ascii="Times New Roman" w:hAnsi="Times New Roman" w:eastAsia="宋体"/>
          <w:b w:val="0"/>
          <w:sz w:val="24"/>
        </w:rPr>
        <w:t>文档类型：项目计划书</w:t>
      </w:r>
    </w:p>
    <w:p>
      <w:pPr>
        <w:spacing w:before="0" w:after="0"/>
        <w:ind w:firstLine="0" w:firstLineChars="0"/>
        <w:jc w:val="center"/>
      </w:pPr>
      <w:r>
        <w:rPr>
          <w:rFonts w:ascii="Times New Roman" w:hAnsi="Times New Roman" w:eastAsia="宋体"/>
          <w:b w:val="0"/>
          <w:sz w:val="24"/>
        </w:rPr>
        <w:t>版本：V1.0（草案）</w:t>
      </w:r>
    </w:p>
    <w:p>
      <w:pPr>
        <w:spacing w:before="0" w:after="0"/>
        <w:ind w:firstLine="0" w:firstLineChars="0"/>
        <w:jc w:val="center"/>
      </w:pPr>
      <w:r>
        <w:rPr>
          <w:rFonts w:ascii="Times New Roman" w:hAnsi="Times New Roman" w:eastAsia="宋体"/>
          <w:b w:val="0"/>
          <w:sz w:val="24"/>
        </w:rPr>
        <w:t>编制日期：2026年10月7日</w:t>
      </w:r>
    </w:p>
    <w:p>
      <w:pPr>
        <w:spacing w:before="0" w:after="0"/>
        <w:ind w:firstLine="0" w:firstLineChars="0"/>
        <w:jc w:val="center"/>
      </w:pPr>
      <w:r>
        <w:rPr>
          <w:rFonts w:ascii="Times New Roman" w:hAnsi="Times New Roman" w:eastAsia="宋体"/>
          <w:b w:val="0"/>
          <w:sz w:val="24"/>
        </w:rPr>
        <w:t>编制人：（待填写）</w:t>
      </w:r>
    </w:p>
    <w:p>
      <w:pPr>
        <w:spacing w:before="0" w:after="0"/>
        <w:ind w:firstLine="0" w:firstLineChars="0"/>
        <w:jc w:val="center"/>
      </w:pPr>
      <w:r>
        <w:rPr>
          <w:rFonts w:ascii="Times New Roman" w:hAnsi="Times New Roman" w:eastAsia="宋体"/>
          <w:b w:val="0"/>
          <w:sz w:val="24"/>
        </w:rPr>
        <w:t>文档状态：待评审</w:t>
      </w:r>
    </w:p>
    <w:p>
      <w:r>
        <w:br w:type="page"/>
      </w:r>
    </w:p>
    <w:p>
      <w:pPr>
        <w:spacing w:before="0" w:after="240"/>
        <w:ind w:firstLine="0" w:firstLineChars="0"/>
        <w:jc w:val="center"/>
      </w:pPr>
      <w:r>
        <w:rPr>
          <w:rFonts w:ascii="Times New Roman" w:hAnsi="Times New Roman" w:eastAsia="黑体"/>
          <w:b/>
          <w:sz w:val="32"/>
        </w:rPr>
        <w:t>目 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一、项目概述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（一）项目背景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（二）项目目标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（三）项目范围与非目标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（四）目标用户与使用场景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（五）运行环境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（六）术语定义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8" w:history="1">
        <w:r>
          <w:t>二、功能需求详述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（一）功能一：网络访问优化（GitHub / Steam 社区加速）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（二）功能二：学习通作业管理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（三）功能三：磁盘扫描、可视化管理与一键清理（核心功能）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（四）功能四：智能资源管家（定时自动清理）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（五）功能优先级与依赖关系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4" w:history="1">
        <w:r>
          <w:t>三、技术架构设计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（一）技术选型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（二）总体架构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（三）模块划分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（四）数据存储设计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9" w:history="1">
        <w:r>
          <w:t>（五）权限与提权设计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0" w:history="1">
        <w:r>
          <w:t>（六）日志与监控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1" w:history="1">
        <w:r>
          <w:t>四、项目计划与排期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2" w:history="1">
        <w:r>
          <w:t>（一）里程碑总览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3" w:history="1">
        <w:r>
          <w:t>（二）阶段任务分解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4" w:history="1">
        <w:r>
          <w:t>（三）工作量估算与分工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5" w:history="1">
        <w:r>
          <w:t>（四）里程碑验收标准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6" w:history="1">
        <w:r>
          <w:t>五、风险管理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7" w:history="1">
        <w:r>
          <w:t>（一）风险登记册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8" w:history="1">
        <w:r>
          <w:t>（二）合规专项说明</w:t>
        </w:r>
        <w:r>
          <w:tab/>
        </w:r>
        <w:r>
          <w:fldChar w:fldCharType="begin"/>
        </w:r>
        <w:r>
          <w:instrText xml:space="preserve"> PAGEREF _LarkToc00028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9" w:history="1">
        <w:r>
          <w:t>（三）数据安全与隐私设计</w:t>
        </w:r>
        <w:r>
          <w:tab/>
        </w:r>
        <w:r>
          <w:fldChar w:fldCharType="begin"/>
        </w:r>
        <w:r>
          <w:instrText xml:space="preserve"> PAGEREF _LarkToc00029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0" w:history="1">
        <w:r>
          <w:t>六、测试与验收</w:t>
        </w:r>
        <w:r>
          <w:tab/>
        </w:r>
        <w:r>
          <w:fldChar w:fldCharType="begin"/>
        </w:r>
        <w:r>
          <w:instrText xml:space="preserve"> PAGEREF _LarkToc00030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1" w:history="1">
        <w:r>
          <w:t>（一）测试策略</w:t>
        </w:r>
        <w:r>
          <w:tab/>
        </w:r>
        <w:r>
          <w:fldChar w:fldCharType="begin"/>
        </w:r>
        <w:r>
          <w:instrText xml:space="preserve"> PAGEREF _LarkToc00031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2" w:history="1">
        <w:r>
          <w:t>（二）验收标准</w:t>
        </w:r>
        <w:r>
          <w:tab/>
        </w:r>
        <w:r>
          <w:fldChar w:fldCharType="begin"/>
        </w:r>
        <w:r>
          <w:instrText xml:space="preserve"> PAGEREF _LarkToc00032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3" w:history="1">
        <w:r>
          <w:t>（三）缺陷分级与发布门禁</w:t>
        </w:r>
        <w:r>
          <w:tab/>
        </w:r>
        <w:r>
          <w:fldChar w:fldCharType="begin"/>
        </w:r>
        <w:r>
          <w:instrText xml:space="preserve"> PAGEREF _LarkToc00033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4" w:history="1">
        <w:r>
          <w:t>七、发布与后续规划</w:t>
        </w:r>
        <w:r>
          <w:tab/>
        </w:r>
        <w:r>
          <w:fldChar w:fldCharType="begin"/>
        </w:r>
        <w:r>
          <w:instrText xml:space="preserve"> PAGEREF _LarkToc00034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5" w:history="1">
        <w:r>
          <w:t>（一）发布形态</w:t>
        </w:r>
        <w:r>
          <w:tab/>
        </w:r>
        <w:r>
          <w:fldChar w:fldCharType="begin"/>
        </w:r>
        <w:r>
          <w:instrText xml:space="preserve"> PAGEREF _LarkToc00035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6" w:history="1">
        <w:r>
          <w:t>（二）版本规划</w:t>
        </w:r>
        <w:r>
          <w:tab/>
        </w:r>
        <w:r>
          <w:fldChar w:fldCharType="begin"/>
        </w:r>
        <w:r>
          <w:instrText xml:space="preserve"> PAGEREF _LarkToc00036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7" w:history="1">
        <w:r>
          <w:t>（三）扩展方向</w:t>
        </w:r>
        <w:r>
          <w:tab/>
        </w:r>
        <w:r>
          <w:fldChar w:fldCharType="begin"/>
        </w:r>
        <w:r>
          <w:instrText xml:space="preserve"> PAGEREF _LarkToc00037 \h </w:instrText>
        </w:r>
        <w:r>
          <w:fldChar w:fldCharType="separate"/>
        </w:r>
        <w:r>
          <w:t>20</w:t>
        </w:r>
        <w:r>
          <w:fldChar w:fldCharType="end"/>
        </w:r>
      </w:hyperlink>
      <w:r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bookmarkStart w:id="1" w:name="_LarkToc00001"/>
      <w:r>
        <w:rPr>
          <w:rFonts w:ascii="Times New Roman" w:hAnsi="Times New Roman" w:eastAsia="黑体"/>
          <w:b/>
          <w:color w:val="000000"/>
          <w:sz w:val="32"/>
        </w:rPr>
        <w:t>一、项目概述</w:t>
      </w:r>
      <w:bookmarkEnd w:id="1"/>
    </w:p>
    <w:p>
      <w:pPr>
        <w:pStyle w:val="Heading2"/>
      </w:pPr>
      <w:bookmarkStart w:id="2" w:name="_LarkToc00002"/>
      <w:r>
        <w:rPr>
          <w:rFonts w:ascii="Times New Roman" w:hAnsi="Times New Roman" w:eastAsia="黑体"/>
          <w:b/>
          <w:color w:val="000000"/>
          <w:sz w:val="28"/>
        </w:rPr>
        <w:t>（一）项目背景</w:t>
      </w:r>
      <w:bookmarkEnd w:id="2"/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本项目面向日常办公与学习中的四类突出问题：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（1）网络访问缓慢：GitHub 仓库克隆与 Steam 社区访问速度不稳定，影响开发效率与使用体验；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（2）作业管理分散：学习通平台上的课程作业分散在各课程页面中，缺少统一、主动的提醒，容易遗漏未交作业；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（3）磁盘管理困难：C 盘空间持续紧张，CDE 盘文件日益杂乱，现有清理工具多按文件名与后缀处理，难以理解文件内容，误删风险较高；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（4）资源占用无感知：后台程序常驻导致内存与 CPU 占用偏高，手动清理繁琐，且用户不希望关闭正在使用的应用。</w:t>
      </w:r>
    </w:p>
    <w:p>
      <w:pPr>
        <w:pStyle w:val="Heading2"/>
      </w:pPr>
      <w:bookmarkStart w:id="3" w:name="_LarkToc00003"/>
      <w:r>
        <w:rPr>
          <w:rFonts w:ascii="Times New Roman" w:hAnsi="Times New Roman" w:eastAsia="黑体"/>
          <w:b/>
          <w:color w:val="000000"/>
          <w:sz w:val="28"/>
        </w:rPr>
        <w:t>（二）项目目标</w:t>
      </w:r>
      <w:bookmarkEnd w:id="3"/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总体目标：开发一款 Windows 桌面办公辅助插件，集成网络访问优化、学习通作业管理、磁盘可视化管理与一键清理、智能资源清理四大功能，常驻系统托盘，低资源占用，数据全部本地保存。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分目标：功能一，在不突破合规红线的前提下优化 GitHub 与 Steam 常见场景的访问速度；功能二，让用户打开插件即可看到各课程作业的未交/已交/逾期状态，并在临近截止时收到提醒；功能三，以树状图呈现各盘符文件，支持拖拽移动、拖拽删除（进回收站）与一键清理，无法识别内容的文件单独归类由用户判断；功能四，无需手动点击，按调度自动在空闲时降低 CPU 与内存占用且不关闭后台应用。</w:t>
      </w:r>
    </w:p>
    <w:p>
      <w:pPr>
        <w:pStyle w:val="Heading2"/>
      </w:pPr>
      <w:bookmarkStart w:id="4" w:name="_LarkToc00004"/>
      <w:r>
        <w:rPr>
          <w:rFonts w:ascii="Times New Roman" w:hAnsi="Times New Roman" w:eastAsia="黑体"/>
          <w:b/>
          <w:color w:val="000000"/>
          <w:sz w:val="28"/>
        </w:rPr>
        <w:t>（三）项目范围与非目标</w:t>
      </w:r>
      <w:bookmarkEnd w:id="4"/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项目范围：Windows 桌面应用（托盘常驻 + 主窗口），四大功能模块，本地 SQLite 数据存储。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非目标（明确不做）：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（1）不提供任何绕过网络管理措施、访问受限网络资源的功能（详见二（一）合规边界说明）；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（2）不采集、不上传用户个人数据与文件内容，所有数据仅本地存储；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（3）不执行强杀后台应用式的高危清理；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（4）不批量删除系统目录与程序目录下的文件，所有删除均经用户确认并优先进入回收站。</w:t>
      </w:r>
    </w:p>
    <w:p>
      <w:pPr>
        <w:pStyle w:val="Heading2"/>
      </w:pPr>
      <w:bookmarkStart w:id="5" w:name="_LarkToc00005"/>
      <w:r>
        <w:rPr>
          <w:rFonts w:ascii="Times New Roman" w:hAnsi="Times New Roman" w:eastAsia="黑体"/>
          <w:b/>
          <w:color w:val="000000"/>
          <w:sz w:val="28"/>
        </w:rPr>
        <w:t>（四）目标用户与使用场景</w:t>
      </w:r>
      <w:bookmarkEnd w:id="5"/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目标用户：个人开发者、在校学生及普通办公人群。典型场景：清晨打开插件查看今日待交作业；开发中一键加速 GitHub 克隆；磁盘空间不足时通过树状图与一键清理安全释放空间；工作期间系统空闲时由插件自动整理内存，无需人工干预。</w:t>
      </w:r>
    </w:p>
    <w:p>
      <w:pPr>
        <w:pStyle w:val="Heading2"/>
      </w:pPr>
      <w:bookmarkStart w:id="6" w:name="_LarkToc00006"/>
      <w:r>
        <w:rPr>
          <w:rFonts w:ascii="Times New Roman" w:hAnsi="Times New Roman" w:eastAsia="黑体"/>
          <w:b/>
          <w:color w:val="000000"/>
          <w:sz w:val="28"/>
        </w:rPr>
        <w:t>（五）运行环境</w:t>
      </w:r>
      <w:bookmarkEnd w:id="6"/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操作系统：Windows 10 / Windows 11（64 位）；运行库：按技术选型确定（Tauri 方案依赖 WebView2 运行时，WPF 方案依赖 .NET 8 桌面运行时）；暂不承诺 Windows 7/8 及 32 位系统兼容。</w:t>
      </w:r>
    </w:p>
    <w:p>
      <w:pPr>
        <w:pStyle w:val="Heading2"/>
      </w:pPr>
      <w:bookmarkStart w:id="7" w:name="_LarkToc00007"/>
      <w:r>
        <w:rPr>
          <w:rFonts w:ascii="Times New Roman" w:hAnsi="Times New Roman" w:eastAsia="黑体"/>
          <w:b/>
          <w:color w:val="000000"/>
          <w:sz w:val="28"/>
        </w:rPr>
        <w:t>（六）术语定义</w:t>
      </w:r>
      <w:bookmarkEnd w:id="7"/>
    </w:p>
    <w:p>
      <w:pPr>
        <w:pStyle w:val="Caption"/>
        <w:keepNext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表1-1 术语定义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6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术语</w:t>
            </w:r>
          </w:p>
        </w:tc>
        <w:tc>
          <w:tcPr>
            <w:tcW w:type="dxa" w:w="4536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4536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学习通</w:t>
            </w:r>
          </w:p>
        </w:tc>
        <w:tc>
          <w:tcPr>
            <w:tcW w:type="dxa" w:w="4536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超星学习通，高校常用在线学习平台，课程与作业的承载系统</w:t>
            </w:r>
          </w:p>
        </w:tc>
      </w:tr>
      <w:tr>
        <w:trPr>
          <w:cantSplit/>
        </w:trPr>
        <w:tc>
          <w:tcPr>
            <w:tcW w:type="dxa" w:w="4536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USN Journal</w:t>
            </w:r>
          </w:p>
        </w:tc>
        <w:tc>
          <w:tcPr>
            <w:tcW w:type="dxa" w:w="4536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NTFS 文件系统的更改日志，可用于快速枚举文件变更</w:t>
            </w:r>
          </w:p>
        </w:tc>
      </w:tr>
      <w:tr>
        <w:trPr>
          <w:cantSplit/>
        </w:trPr>
        <w:tc>
          <w:tcPr>
            <w:tcW w:type="dxa" w:w="4536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Standby List</w:t>
            </w:r>
          </w:p>
        </w:tc>
        <w:tc>
          <w:tcPr>
            <w:tcW w:type="dxa" w:w="4536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Windows 内存中的待机缓存列表，可被系统安全回收</w:t>
            </w:r>
          </w:p>
        </w:tc>
      </w:tr>
      <w:tr>
        <w:trPr>
          <w:cantSplit/>
        </w:trPr>
        <w:tc>
          <w:tcPr>
            <w:tcW w:type="dxa" w:w="4536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工作集（Working Set）</w:t>
            </w:r>
          </w:p>
        </w:tc>
        <w:tc>
          <w:tcPr>
            <w:tcW w:type="dxa" w:w="4536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进程当前驻留在物理内存中的页面集合</w:t>
            </w:r>
          </w:p>
        </w:tc>
      </w:tr>
      <w:tr>
        <w:trPr>
          <w:cantSplit/>
        </w:trPr>
        <w:tc>
          <w:tcPr>
            <w:tcW w:type="dxa" w:w="4536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回收站</w:t>
            </w:r>
          </w:p>
        </w:tc>
        <w:tc>
          <w:tcPr>
            <w:tcW w:type="dxa" w:w="4536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Windows 删除文件的暂存位置，删除后仍可恢复</w:t>
            </w:r>
          </w:p>
        </w:tc>
      </w:tr>
      <w:tr>
        <w:trPr>
          <w:cantSplit/>
        </w:trPr>
        <w:tc>
          <w:tcPr>
            <w:tcW w:type="dxa" w:w="4536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镜像源</w:t>
            </w:r>
          </w:p>
        </w:tc>
        <w:tc>
          <w:tcPr>
            <w:tcW w:type="dxa" w:w="4536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软件仓库的第三方同步副本，用于加速下载</w:t>
            </w:r>
          </w:p>
        </w:tc>
      </w:tr>
      <w:tr>
        <w:trPr>
          <w:cantSplit/>
        </w:trPr>
        <w:tc>
          <w:tcPr>
            <w:tcW w:type="dxa" w:w="4536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白名单</w:t>
            </w:r>
          </w:p>
        </w:tc>
        <w:tc>
          <w:tcPr>
            <w:tcW w:type="dxa" w:w="4536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插件默认保护、不参与清理与删除的路径或进程清单</w:t>
            </w:r>
          </w:p>
        </w:tc>
      </w:tr>
    </w:tbl>
    <w:p>
      <w:pPr>
        <w:pStyle w:val="Heading1"/>
      </w:pPr>
      <w:bookmarkStart w:id="8" w:name="_LarkToc00008"/>
      <w:r>
        <w:rPr>
          <w:rFonts w:ascii="Times New Roman" w:hAnsi="Times New Roman" w:eastAsia="黑体"/>
          <w:b/>
          <w:color w:val="000000"/>
          <w:sz w:val="32"/>
        </w:rPr>
        <w:t>二、功能需求详述</w:t>
      </w:r>
      <w:bookmarkEnd w:id="8"/>
    </w:p>
    <w:p>
      <w:pPr>
        <w:pStyle w:val="Heading2"/>
      </w:pPr>
      <w:bookmarkStart w:id="9" w:name="_LarkToc00009"/>
      <w:r>
        <w:rPr>
          <w:rFonts w:ascii="Times New Roman" w:hAnsi="Times New Roman" w:eastAsia="黑体"/>
          <w:b/>
          <w:color w:val="000000"/>
          <w:sz w:val="28"/>
        </w:rPr>
        <w:t>（一）功能一：网络访问优化（GitHub / Steam 社区加速）</w:t>
      </w:r>
      <w:bookmarkEnd w:id="9"/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1. 需求描述与用户故事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用户故事：作为开发者，我希望克隆 GitHub 仓库、拉取依赖更快；作为 Steam 用户，我希望商店与社区页面访问更流畅，同时不违反法律法规。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2. 功能清单</w:t>
      </w:r>
    </w:p>
    <w:p>
      <w:pPr>
        <w:pStyle w:val="Caption"/>
        <w:keepNext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表2-1 功能一功能清单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2268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功能项</w:t>
            </w:r>
          </w:p>
        </w:tc>
        <w:tc>
          <w:tcPr>
            <w:tcW w:type="dxa" w:w="2268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  <w:tc>
          <w:tcPr>
            <w:tcW w:type="dxa" w:w="2268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F1-01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目标站点测速与线路优选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对 GitHub、Steam 常用域名测速，展示最优可达结果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F1-02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GitHub 镜像源管理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内置公共镜像清单，一键切换克隆前缀；第三方可用性由用户自担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F1-03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Git 配置优化向导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 SSH over 443、浅克隆、稀疏检出等建议配置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F1-04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代理设置向导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检测系统代理；用户自备代理时写入 git 与系统代理配置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F1-05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加速效果报告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P3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加速前后测速对比与日志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F1-06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合规说明与开关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首次使用展示合规边界，功能可整体停用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3. 技术方案与合规边界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合规边界（红线，不可突破）：插件不内置、不自动实施任何绕过网络管理措施的功能；不通过修改 hosts、内置代理或 VPN 等方式访问网络管理措施限制的资源；对无法合法直连的目标，仅提示用户通过官方渠道或自行选择的合规方式处理。本功能设计依据《中华人民共和国网络安全法》（2016年11月7日通过，2017年6月1日施行，2025年修正）与《计算机信息网络国际联网管理暂行规定》（1996年2月1日国务院令第195号发布，2024年第二次修订）的相关要求，开发前必须通过合规评审（见五（二））。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GitHub 加速（合规路径）：一是镜像源切换，内置公开镜像清单，一键切换 git 克隆前缀，镜像可用性由用户自担；二是 Git 配置优化，生成 SSH over 443、浅克隆、稀疏检出等建议配置，不改变仓库内容；三是测速与线路优选，对常用域名做连通性测速并展示结果；四是代理配置引导，检测系统代理，用户自备代理时写入配置并提供一键还原。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Steam 加速（合规路径）：仅做商店与社区页面的连通性测速、下载 CDN 节点优选等合规优化；不提供对受限内容的绕过手段。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4. 用户交互设计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主界面网络优化页包含：目标站点列表与当前状态、测速按钮、镜像与配置一键应用、生效与回滚按钮、操作日志面板。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5. 性能与体验指标</w:t>
      </w:r>
    </w:p>
    <w:p>
      <w:pPr>
        <w:pStyle w:val="Caption"/>
        <w:keepNext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表2-2 功能一性能与体验指标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指标项</w:t>
            </w:r>
          </w:p>
        </w:tc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目标值</w:t>
            </w:r>
          </w:p>
        </w:tc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GitHub 克隆加速比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≥ 2 倍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可直连场景下，镜像或配置优化生效后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单次测速耗时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≤ 15 秒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并发探测，超时自动跳过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配置可回滚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100%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所有写入的 git 与系统代理配置一键还原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网络零侵入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不修改 hosts、不安装驱动、不驻留代理进程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6. 风险与合规要点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主要风险：第三方镜像可用性波动（自动降级回官方源）；杀毒软件误报（代码签名与行为说明）；合规红线失守（风险 R1，见五（一）与五（二））。</w:t>
      </w:r>
    </w:p>
    <w:p>
      <w:pPr>
        <w:pStyle w:val="Heading2"/>
      </w:pPr>
      <w:bookmarkStart w:id="10" w:name="_LarkToc00010"/>
      <w:r>
        <w:rPr>
          <w:rFonts w:ascii="Times New Roman" w:hAnsi="Times New Roman" w:eastAsia="黑体"/>
          <w:b/>
          <w:color w:val="000000"/>
          <w:sz w:val="28"/>
        </w:rPr>
        <w:t>（二）功能二：学习通作业管理</w:t>
      </w:r>
      <w:bookmarkEnd w:id="10"/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1. 需求描述与用户故事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用户故事：作为学生，我希望打开插件即可看到哪些课程有作业未做、截止时间是什么，并在临近截止时收到桌面提醒，避免漏交。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2. 功能清单</w:t>
      </w:r>
    </w:p>
    <w:p>
      <w:pPr>
        <w:pStyle w:val="Caption"/>
        <w:keepNext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表2-3 功能二功能清单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2268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功能项</w:t>
            </w:r>
          </w:p>
        </w:tc>
        <w:tc>
          <w:tcPr>
            <w:tcW w:type="dxa" w:w="2268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  <w:tc>
          <w:tcPr>
            <w:tcW w:type="dxa" w:w="2268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F2-01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账号登录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手机号或学号加密码登录，或扫码登录；凭据本地 DPAPI 加密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F2-02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课程与作业同步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自动拉取课程列表与作业列表，含截止时间与状态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F2-03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作业看板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按课程分组、按截止时间排序两种视图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F2-04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未交作业提醒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系统通知加托盘角标；临近截止高亮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F2-05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自动同步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默认每 10 分钟一次，可配置；支持手动刷新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F2-06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完成状态标记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本地标记已完成，与平台状态合并展示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F2-07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导出日历（iCal）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P3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可选，将截止时间导出到系统日历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3. 技术方案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方案对比：A. 私有接口对接（推荐候选），通过抓包还原学习通 Web/H5 接口，实现登录、课程列表、作业列表同步，灵活但依赖逆向与持续维护；B. 官方开放接口，若平台提供开放能力则优先采用，合规性最好；C. 浏览器辅助，以浏览器扩展读取已登录会话，免密码但维护成本高。最终路径由 M1 PoC 验证后确定。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登录与会话：支持手机号或学号加密码登录、扫码登录；凭据经 Windows DPAPI 加密后本地存储；会话失效时自动提示重新登录，不静默重试。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同步引擎：按配置频率轮询作业接口，与本地库比对，计算状态（未交、已交、已逾期、本地已完成），并将每次同步结果写入 sync_log 供诊断。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提醒机制：系统通知加托盘角标；临近截止默认提前 24 小时、6 小时、1 小时提醒（可配置）。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4. 数据模型设计</w:t>
      </w:r>
    </w:p>
    <w:p>
      <w:pPr>
        <w:pStyle w:val="Caption"/>
        <w:keepNext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表2-4 功能二数据模型（SQLite）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表名</w:t>
            </w:r>
          </w:p>
        </w:tc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关键字段</w:t>
            </w:r>
          </w:p>
        </w:tc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course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id、name、teacher、term、sync_time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课程主数据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homework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id、course_id、title、deadline、platform_status、local_status、submitted_at、sync_time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作业与状态；local_status 为本地完成标记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sync_log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id、sync_time、result、error_msg、duration_ms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同步历史，用于诊断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5. 合规与安全约束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仅登录本人账号；数据仅本地存储、不上传；请求频率默认不低于每 10 分钟一次并带指数退避；不抓取他人数据；遵守学习通平台服务条款；若平台明令禁止自动抓取，则降级为手动导出或浏览器辅助模式。数据本地化与最小化处理原则依据《中华人民共和国个人信息保护法》（2021年8月20日通过，2021年11月1日施行）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6. 风险与应对</w:t>
      </w:r>
    </w:p>
    <w:p>
      <w:pPr>
        <w:pStyle w:val="Caption"/>
        <w:keepNext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表2-5 功能二风险与应对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风险</w:t>
            </w:r>
          </w:p>
        </w:tc>
        <w:tc>
          <w:tcPr>
            <w:tcW w:type="dxa" w:w="2268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概率</w:t>
            </w:r>
          </w:p>
        </w:tc>
        <w:tc>
          <w:tcPr>
            <w:tcW w:type="dxa" w:w="2268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影响</w:t>
            </w:r>
          </w:p>
        </w:tc>
        <w:tc>
          <w:tcPr>
            <w:tcW w:type="dxa" w:w="2268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应对措施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学习通接口变更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同步失效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接口层抽象隔离，变更仅改适配器；失败降级为手动模式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账号风控或验证码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登录受阻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控制频率、指数退避、提示用户手动登录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平台禁止自动抓取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低至中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功能不可用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优先官方接口；否则降级为浏览器辅助或手动导出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凭据泄露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账号安全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DPAPI 加密存储、不上传、提供退出即清除</w:t>
            </w:r>
          </w:p>
        </w:tc>
      </w:tr>
    </w:tbl>
    <w:p>
      <w:pPr>
        <w:pStyle w:val="Heading2"/>
      </w:pPr>
      <w:bookmarkStart w:id="11" w:name="_LarkToc00011"/>
      <w:r>
        <w:rPr>
          <w:rFonts w:ascii="Times New Roman" w:hAnsi="Times New Roman" w:eastAsia="黑体"/>
          <w:b/>
          <w:color w:val="000000"/>
          <w:sz w:val="28"/>
        </w:rPr>
        <w:t>（三）功能三：磁盘扫描、可视化管理与一键清理（核心功能）</w:t>
      </w:r>
      <w:bookmarkEnd w:id="11"/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1. 需求描述与用户故事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用户故事：作为用户，我希望一眼看到每个盘的空间分布；按树状图展开任意目录查看文件；把文件拖到其他目录节点即完成移动，拖到垃圾桶即删除（先进回收站可恢复）；一键清理系统可安全删除的文件；识别不了内容的文件单独列出由我自己判断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2. 参考项目分析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crystalidea/uninstall-tool 是 Uninstall Tool 在 GitHub 的官方发布与二进制归档仓库（截至 2026 年 10 月约 127 stars、31 commits），仓库内为发行版文件而非产品源码。其产品 Uninstall Tool 的核心能力是卸载项扫描与残留清理，可借鉴的产品思路包括：一是从卸载项或注册表反查关联文件，实现残留扫描定位；二是删除前分级确认、删除后报告展示的交互机制；三是对系统组件采取谨慎处理策略。本项目不复制其代码，仅借鉴产品交互与扫描定位思路，并自行实现文件内容识别与安全删除引擎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3. 功能清单</w:t>
      </w:r>
    </w:p>
    <w:p>
      <w:pPr>
        <w:pStyle w:val="Caption"/>
        <w:keepNext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表2-6 功能三功能清单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2268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功能项</w:t>
            </w:r>
          </w:p>
        </w:tc>
        <w:tc>
          <w:tcPr>
            <w:tcW w:type="dxa" w:w="2268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  <w:tc>
          <w:tcPr>
            <w:tcW w:type="dxa" w:w="2268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F3-01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磁盘空间总览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各盘符与顶级目录占用分布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F3-02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树状图文件浏览器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盘符为根、懒加载展开、文件为叶子节点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F3-03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文件内容识别与摘要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文档标题、文本摘要、图片缩略图、音视频信息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F3-04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拖拽移动文件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拖到目录节点即移动；冲突与权限提示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F3-05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拖拽删除进回收站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拖到垃圾桶区，二次确认后移入回收站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F3-06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未识别文件区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内容无法识别的文件集中展示，由用户判断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F3-07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一键清理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仅对可安全删除清单执行，先预览后确认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F3-08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白名单保护与操作日志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系统目录默认保护；所有操作可审计、可恢复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F3-09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增量与后台扫描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首扫全量，后续增量；后台静默执行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4. 技术方案：文件扫描引擎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首扫：多线程并行目录遍历（Windows API），按目录分片下发任务并汇总；对系统大目录可跳过或降速，避免拖垮磁盘。增量：基于目录指纹快照（size 加 mtime）比对，仅扫描变化子树。扫描全程为只读操作，不修改任何文件。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5. 技术方案：内容识别与可安全删除判定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类型判定双通道：扩展名映射为主、文件头（magic bytes）校验为辅，避免伪装扩展名误判。内容提取：文本类读取前 N KB 生成标题与摘要；图片生成不超过 128 像素的缩略图；音视频读取时长、分辨率等元信息（调用系统属性或可选 ffprobe）。识别失败的统一进入未识别文件区。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可安全删除判定：风险分为三级。安全级包括临时文件、缓存、回收站、旧安装包、浏览器缓存等；谨慎级包括用户文档目录下的大文件、重复文件；危险级包括系统目录、Program Files、运行中进程占用文件。白名单默认保护系统目录与程序目录。一键清理仅处理安全级清单，执行前预览并估算释放空间，二次确认后执行，删除统一调用回收站 API（IFileOperation），不做物理删除。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6. UI 交互设计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主界面采用三段式布局（示意图见图3-2）：左侧盘符树、中部文件详情与内容摘要、右侧操作面板；界面右下角固定垃圾桶区。拖拽交互由前端拖拽层实现：拖到目录节点表示移动，拖到垃圾桶区表示删除进回收站。未识别文件区为独立页签，用户可对其中文件手动标记保留、删除或移动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170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lay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17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80" w:after="3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图3-2 功能三主界面布局示意（规划草图）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7. 性能指标</w:t>
      </w:r>
    </w:p>
    <w:p>
      <w:pPr>
        <w:pStyle w:val="Caption"/>
        <w:keepNext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表2-7 功能三性能指标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指标项</w:t>
            </w:r>
          </w:p>
        </w:tc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目标值</w:t>
            </w:r>
          </w:p>
        </w:tc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全盘首扫（约 100 万文件）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≤ 10 分钟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多线程并行加后台执行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增量扫描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≤ 30 秒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基于目录指纹快照比对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树节点展开响应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≤ 200 毫秒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懒加载加本地缓存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拖拽响应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≤ 100 毫秒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前端拖拽层独立实现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识别覆盖率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≥ 80%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常见文档与媒体；其余进入未识别区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8. 安全机制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默认进回收站；白名单保护系统与程序目录；删除与清理二次确认；全部操作写操作日志；高危操作需输入“确认”二字；扫描只读。误删防护用例纳入发布门禁（见六（三））。</w:t>
      </w:r>
    </w:p>
    <w:p>
      <w:pPr>
        <w:pStyle w:val="Heading2"/>
      </w:pPr>
      <w:bookmarkStart w:id="12" w:name="_LarkToc00012"/>
      <w:r>
        <w:rPr>
          <w:rFonts w:ascii="Times New Roman" w:hAnsi="Times New Roman" w:eastAsia="黑体"/>
          <w:b/>
          <w:color w:val="000000"/>
          <w:sz w:val="28"/>
        </w:rPr>
        <w:t>（四）功能四：智能资源管家（定时自动清理）</w:t>
      </w:r>
      <w:bookmarkEnd w:id="12"/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1. 需求描述与用户故事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用户故事：作为用户，我希望不关闭正在使用的软件，系统也能定期自动释放内存、降低 CPU 占用，无需我手动点击。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2. 功能清单</w:t>
      </w:r>
    </w:p>
    <w:p>
      <w:pPr>
        <w:pStyle w:val="Caption"/>
        <w:keepNext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表2-8 功能四功能清单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2268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功能项</w:t>
            </w:r>
          </w:p>
        </w:tc>
        <w:tc>
          <w:tcPr>
            <w:tcW w:type="dxa" w:w="2268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  <w:tc>
          <w:tcPr>
            <w:tcW w:type="dxa" w:w="2268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F4-01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自动清理开关与调度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内置调度器：周期执行或固定时间执行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F4-02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阈值触发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内存占用高于阈值且系统空闲超过设定时长时自动执行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F4-03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工作集压缩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对非前台进程执行 EmptyWorkingSet，前台豁免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F4-04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Standby 列表清理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需管理员权限，默认关闭，可选开启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F4-05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进程优先级优化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降低非活跃进程优先级，清理结束恢复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F4-06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高占用进程提示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仅提示，不自动结束进程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F4-07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清理报告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释放量、耗时、受影响进程清单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F4-08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进程白名单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用户指定永不触碰的进程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3. 技术方案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内存优化（不杀进程）：一是工作集压缩，对非前台、非白名单进程执行 EmptyWorkingSet，将空闲页面换出，前台进程豁免；二是 Standby 列表清理，通过系统 API 回收待机缓存，需管理员权限，默认关闭；三是系统缓存整理。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CPU 优化：对长时间低交互的进程降低优先级（SetPriorityClass），清理结束时恢复；对异常高占用进程仅给出提示，不自动结束。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调度器：内置类 cron 调度（周期或固定时间），叠加阈值触发（内存占用高于阈值且系统空闲超过设定时长时自动执行）；托盘常驻，全自动运行。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4. 技术边界与效果预期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需要如实说明的技术边界：Windows 虚拟内存机制下，工作集压缩属于短期整理而非永久减少物理占用，系统按需会重新调入页面；Standby 清理的收益与系统负载场景相关；在不结束进程的前提下，内存回收存在客观上限。因此验收指标以释放量报告与前台无感为准，不承诺持续低占用（见六（二））。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5. 用户交互设计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资源管家面板包含：总开关、策略配置（阈值、时间、白名单）、立即清理按钮、最近清理报告（释放量、耗时、影响进程）。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6. 性能与效果指标</w:t>
      </w:r>
    </w:p>
    <w:p>
      <w:pPr>
        <w:pStyle w:val="Caption"/>
        <w:keepNext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表2-9 功能四性能与效果指标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指标项</w:t>
            </w:r>
          </w:p>
        </w:tc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目标值</w:t>
            </w:r>
          </w:p>
        </w:tc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单次清理释放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≥ 200 MB（视系统状态）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工作集加 Standby 综合结果，如实报告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对前台应用影响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可感知度低（小于 5%）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前台进程豁免加空闲时执行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插件自身常驻内存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≤ 120 MB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技术选型约束，见三（一）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调度误差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≤ 60 秒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内置调度器</w:t>
            </w:r>
          </w:p>
        </w:tc>
      </w:tr>
    </w:tbl>
    <w:p>
      <w:pPr>
        <w:pStyle w:val="Heading2"/>
      </w:pPr>
      <w:bookmarkStart w:id="13" w:name="_LarkToc00013"/>
      <w:r>
        <w:rPr>
          <w:rFonts w:ascii="Times New Roman" w:hAnsi="Times New Roman" w:eastAsia="黑体"/>
          <w:b/>
          <w:color w:val="000000"/>
          <w:sz w:val="28"/>
        </w:rPr>
        <w:t>（五）功能优先级与依赖关系</w:t>
      </w:r>
      <w:bookmarkEnd w:id="13"/>
    </w:p>
    <w:p>
      <w:pPr>
        <w:pStyle w:val="Caption"/>
        <w:keepNext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表2-10 功能优先级与依赖关系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</w:t>
            </w:r>
          </w:p>
        </w:tc>
        <w:tc>
          <w:tcPr>
            <w:tcW w:type="dxa" w:w="2268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  <w:tc>
          <w:tcPr>
            <w:tcW w:type="dxa" w:w="2268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依赖</w:t>
            </w:r>
          </w:p>
        </w:tc>
        <w:tc>
          <w:tcPr>
            <w:tcW w:type="dxa" w:w="2268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开发顺序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功能三 磁盘管理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P0（核心）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功能二 学习通作业管理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PoC 验证接口可行性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功能四 智能资源管家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技术选型确定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功能一 网络优化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合规评审先行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</w:tr>
    </w:tbl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功能三为体验核心与最大工作量，优先开发；功能一依赖合规评审先行，故排最后；功能二依赖 PoC 阶段对学习通接口可行性的验证结论。</w:t>
      </w:r>
    </w:p>
    <w:p>
      <w:pPr>
        <w:pStyle w:val="Heading1"/>
      </w:pPr>
      <w:bookmarkStart w:id="14" w:name="_LarkToc00014"/>
      <w:r>
        <w:rPr>
          <w:rFonts w:ascii="Times New Roman" w:hAnsi="Times New Roman" w:eastAsia="黑体"/>
          <w:b/>
          <w:color w:val="000000"/>
          <w:sz w:val="32"/>
        </w:rPr>
        <w:t>三、技术架构设计</w:t>
      </w:r>
      <w:bookmarkEnd w:id="14"/>
    </w:p>
    <w:p>
      <w:pPr>
        <w:pStyle w:val="Heading2"/>
      </w:pPr>
      <w:bookmarkStart w:id="15" w:name="_LarkToc00015"/>
      <w:r>
        <w:rPr>
          <w:rFonts w:ascii="Times New Roman" w:hAnsi="Times New Roman" w:eastAsia="黑体"/>
          <w:b/>
          <w:color w:val="000000"/>
          <w:sz w:val="28"/>
        </w:rPr>
        <w:t>（一）技术选型</w:t>
      </w:r>
      <w:bookmarkEnd w:id="15"/>
    </w:p>
    <w:p>
      <w:pPr>
        <w:pStyle w:val="Caption"/>
        <w:keepNext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表3-1 技术选型对比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 w:val="true"/>
        </w:trPr>
        <w:tc>
          <w:tcPr>
            <w:tcW w:type="dxa" w:w="1512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方案</w:t>
            </w:r>
          </w:p>
        </w:tc>
        <w:tc>
          <w:tcPr>
            <w:tcW w:type="dxa" w:w="1512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常驻内存</w:t>
            </w:r>
          </w:p>
        </w:tc>
        <w:tc>
          <w:tcPr>
            <w:tcW w:type="dxa" w:w="1512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文件系统与系统 API</w:t>
            </w:r>
          </w:p>
        </w:tc>
        <w:tc>
          <w:tcPr>
            <w:tcW w:type="dxa" w:w="1512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UI 生态</w:t>
            </w:r>
          </w:p>
        </w:tc>
        <w:tc>
          <w:tcPr>
            <w:tcW w:type="dxa" w:w="1512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学习成本</w:t>
            </w:r>
          </w:p>
        </w:tc>
        <w:tc>
          <w:tcPr>
            <w:tcW w:type="dxa" w:w="1512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结论</w:t>
            </w:r>
          </w:p>
        </w:tc>
      </w:tr>
      <w:tr>
        <w:trPr>
          <w:cantSplit/>
        </w:trPr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Electron 加 Vue3/React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约 200 至 400 MB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需 Node 原生模块或子进程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最成熟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中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与功能四目标冲突，不推荐</w:t>
            </w:r>
          </w:p>
        </w:tc>
      </w:tr>
      <w:tr>
        <w:trPr>
          <w:cantSplit/>
        </w:trPr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Tauri 2.x 加 Rust 加 React/Vue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约 50 至 120 MB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Rust 直接调用 Windows API，能力强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成熟（WebView2）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中高（Rust）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推荐</w:t>
            </w:r>
          </w:p>
        </w:tc>
      </w:tr>
      <w:tr>
        <w:trPr>
          <w:cantSplit/>
        </w:trPr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C# WPF / .NET 8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约 80 至 150 MB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.NET 最强（回收站、文件操作）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原生控件，树组件一般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中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备选</w:t>
            </w:r>
          </w:p>
        </w:tc>
      </w:tr>
    </w:tbl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推荐 Tauri 2.x（Rust 核心）加 React/Vue 前端：插件自身低占用，与功能四的定位一致；Rust 侧可直接、高效地调用 Windows API（文件遍历、回收站、内存优化、网络）；WebView2 渲染树状图等复杂 UI 成熟。若 Rust 学习成本不可接受，备选 C# WPF/.NET 8。无论采用哪套方案，核心引擎（扫描、识别、清理、资源优化）均独立成库，便于替换。</w:t>
      </w:r>
    </w:p>
    <w:p>
      <w:pPr>
        <w:pStyle w:val="Heading2"/>
      </w:pPr>
      <w:bookmarkStart w:id="16" w:name="_LarkToc00016"/>
      <w:r>
        <w:rPr>
          <w:rFonts w:ascii="Times New Roman" w:hAnsi="Times New Roman" w:eastAsia="黑体"/>
          <w:b/>
          <w:color w:val="000000"/>
          <w:sz w:val="28"/>
        </w:rPr>
        <w:t>（二）总体架构</w:t>
      </w:r>
      <w:bookmarkEnd w:id="16"/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系统自顶向下分为用户界面层、桥接层、核心服务层与系统接口层，如图3-1所示。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682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68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80" w:after="3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图3-1 系统总体架构图（示意）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用户界面层负责树状图、拖拽、看板与各类面板；桥接层提供白名单命令校验；核心服务层由六个独立模块组成，统一调度；系统接口层封装 Windows API、文件系统、网络栈与 SQLite。</w:t>
      </w:r>
    </w:p>
    <w:p>
      <w:pPr>
        <w:pStyle w:val="Heading2"/>
      </w:pPr>
      <w:bookmarkStart w:id="17" w:name="_LarkToc00017"/>
      <w:r>
        <w:rPr>
          <w:rFonts w:ascii="Times New Roman" w:hAnsi="Times New Roman" w:eastAsia="黑体"/>
          <w:b/>
          <w:color w:val="000000"/>
          <w:sz w:val="28"/>
        </w:rPr>
        <w:t>（三）模块划分</w:t>
      </w:r>
      <w:bookmarkEnd w:id="17"/>
    </w:p>
    <w:p>
      <w:pPr>
        <w:pStyle w:val="Caption"/>
        <w:keepNext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表3-2 模块划分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职责</w:t>
            </w:r>
          </w:p>
        </w:tc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关键技术点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文件扫描引擎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目录遍历、快照、增量扫描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多线程遍历；size 加 mtime 指纹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内容识别引擎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类型判定与内容摘要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扩展名映射加 magic bytes；文本、图片、音视频解析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清理与安全引擎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风险分级、白名单、执行清理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回收站 API；风险规则库；操作日志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学习通客户端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登录、同步、提醒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私有或官方接口适配层；DPAPI；系统通知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网络优化模块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测速、镜像管理、配置向导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合规方案；可回滚配置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资源管家与调度器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内存优化、优先级、定时触发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Windows API；类 cron 调度</w:t>
            </w:r>
          </w:p>
        </w:tc>
      </w:tr>
    </w:tbl>
    <w:p>
      <w:pPr>
        <w:pStyle w:val="Heading2"/>
      </w:pPr>
      <w:bookmarkStart w:id="18" w:name="_LarkToc00018"/>
      <w:r>
        <w:rPr>
          <w:rFonts w:ascii="Times New Roman" w:hAnsi="Times New Roman" w:eastAsia="黑体"/>
          <w:b/>
          <w:color w:val="000000"/>
          <w:sz w:val="28"/>
        </w:rPr>
        <w:t>（四）数据存储设计</w:t>
      </w:r>
      <w:bookmarkEnd w:id="18"/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使用 SQLite 单文件本地库，路径位于用户数据目录。核心表设计如表3-3所示。</w:t>
      </w:r>
    </w:p>
    <w:p>
      <w:pPr>
        <w:pStyle w:val="Caption"/>
        <w:keepNext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表3-3 数据存储设计（SQLite 单文件）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表</w:t>
            </w:r>
          </w:p>
        </w:tc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核心字段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files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扫描结果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path、parent、type、size、mtime、md5、risk_level、recognized、summary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file_types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类型规则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ext、mime、magic、category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cleanup_rules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清理规则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pattern、category、risk、enabled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homework、course、sync_log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学习通数据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见二（二）表2-4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settings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配置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key、value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operation_log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操作审计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ts、op、src、dst、result</w:t>
            </w:r>
          </w:p>
        </w:tc>
      </w:tr>
    </w:tbl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files 表按 parent 建立索引以加速树状图展开；md5 字段仅对去重分析等必要场景计算，避免全量哈希拖慢扫描。</w:t>
      </w:r>
    </w:p>
    <w:p>
      <w:pPr>
        <w:pStyle w:val="Heading2"/>
      </w:pPr>
      <w:bookmarkStart w:id="19" w:name="_LarkToc00019"/>
      <w:r>
        <w:rPr>
          <w:rFonts w:ascii="Times New Roman" w:hAnsi="Times New Roman" w:eastAsia="黑体"/>
          <w:b/>
          <w:color w:val="000000"/>
          <w:sz w:val="28"/>
        </w:rPr>
        <w:t>（五）权限与提权设计</w:t>
      </w:r>
      <w:bookmarkEnd w:id="19"/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扫描与查看为只读操作，不需要管理员权限；删除、清理与内存优化等操作按需触发 UAC 提权；提权会话内仅执行白名单命令，防止提权后误操作。</w:t>
      </w:r>
    </w:p>
    <w:p>
      <w:pPr>
        <w:pStyle w:val="Heading2"/>
      </w:pPr>
      <w:bookmarkStart w:id="20" w:name="_LarkToc00020"/>
      <w:r>
        <w:rPr>
          <w:rFonts w:ascii="Times New Roman" w:hAnsi="Times New Roman" w:eastAsia="黑体"/>
          <w:b/>
          <w:color w:val="000000"/>
          <w:sz w:val="28"/>
        </w:rPr>
        <w:t>（六）日志与监控</w:t>
      </w:r>
      <w:bookmarkEnd w:id="20"/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分级日志（debug、info、warn、error）写入本地；操作审计日志落盘且不可由普通功能删除；崩溃日志本地保存，默认不自动上报。</w:t>
      </w:r>
    </w:p>
    <w:p>
      <w:pPr>
        <w:pStyle w:val="Heading1"/>
      </w:pPr>
      <w:bookmarkStart w:id="21" w:name="_LarkToc00021"/>
      <w:r>
        <w:rPr>
          <w:rFonts w:ascii="Times New Roman" w:hAnsi="Times New Roman" w:eastAsia="黑体"/>
          <w:b/>
          <w:color w:val="000000"/>
          <w:sz w:val="32"/>
        </w:rPr>
        <w:t>四、项目计划与排期</w:t>
      </w:r>
      <w:bookmarkEnd w:id="21"/>
    </w:p>
    <w:p>
      <w:pPr>
        <w:pStyle w:val="Heading2"/>
      </w:pPr>
      <w:bookmarkStart w:id="22" w:name="_LarkToc00022"/>
      <w:r>
        <w:rPr>
          <w:rFonts w:ascii="Times New Roman" w:hAnsi="Times New Roman" w:eastAsia="黑体"/>
          <w:b/>
          <w:color w:val="000000"/>
          <w:sz w:val="28"/>
        </w:rPr>
        <w:t>（一）里程碑总览</w:t>
      </w:r>
      <w:bookmarkEnd w:id="22"/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总体周期按单人全职约 12 周规划，兼职可等比延长至 16 至 20 周。里程碑如表4-1与图4-1所示。</w:t>
      </w:r>
    </w:p>
    <w:p>
      <w:pPr>
        <w:pStyle w:val="Caption"/>
        <w:keepNext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表4-1 里程碑总览（规划值）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里程碑</w:t>
            </w:r>
          </w:p>
        </w:tc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周期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M0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需求冻结、合规评审、技术栈确认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第 1 周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M1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技术验证 PoC：扫描性能、学习通接口、内存 API、加速方案合规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第 2 至 3 周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M2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功能三 MVP：扫描、树、拖拽、一键清理、未识别区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第 4 至 6 周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M3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功能二：学习通集成与提醒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第 7 至 8 周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M4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功能四：智能资源管家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第 9 周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M5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功能一：网络优化（合规版）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第 10 周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M6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集成联调与系统测试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第 11 周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M7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Beta 发布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第 12 周</w:t>
            </w:r>
          </w:p>
        </w:tc>
      </w:tr>
    </w:tbl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886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88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80" w:after="3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图4-1 项目里程碑甘特图（规划值）</w:t>
      </w:r>
    </w:p>
    <w:p>
      <w:pPr>
        <w:pStyle w:val="Heading2"/>
      </w:pPr>
      <w:bookmarkStart w:id="23" w:name="_LarkToc00023"/>
      <w:r>
        <w:rPr>
          <w:rFonts w:ascii="Times New Roman" w:hAnsi="Times New Roman" w:eastAsia="黑体"/>
          <w:b/>
          <w:color w:val="000000"/>
          <w:sz w:val="28"/>
        </w:rPr>
        <w:t>（二）阶段任务分解</w:t>
      </w:r>
      <w:bookmarkEnd w:id="23"/>
    </w:p>
    <w:p>
      <w:pPr>
        <w:pStyle w:val="Caption"/>
        <w:keepNext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表4-2 阶段任务分解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阶段</w:t>
            </w:r>
          </w:p>
        </w:tc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关键任务</w:t>
            </w:r>
          </w:p>
        </w:tc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交付物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M0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需求冻结、合规红线确认、技术栈定稿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需求基线文档、合规评审结论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M1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全盘扫描压测、学习通接口探测、内存 API 验证、加速方案合规复核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PoC 验证报告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M2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扫描引擎、识别引擎、树组件、拖拽层、一键清理、未识别区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功能三可用版本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M3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登录、同步、看板、提醒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功能二可用版本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M4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调度器、内存优化、白名单、清理报告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功能四可用版本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M5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测速、镜像管理、配置向导、合规开关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功能一可用版本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M6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四功能联调、安全与性能与兼容测试、缺陷修复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测试报告、缺陷清单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M7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安装包、可选签名、发布说明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Beta 安装包</w:t>
            </w:r>
          </w:p>
        </w:tc>
      </w:tr>
    </w:tbl>
    <w:p>
      <w:pPr>
        <w:pStyle w:val="Heading2"/>
      </w:pPr>
      <w:bookmarkStart w:id="24" w:name="_LarkToc00024"/>
      <w:r>
        <w:rPr>
          <w:rFonts w:ascii="Times New Roman" w:hAnsi="Times New Roman" w:eastAsia="黑体"/>
          <w:b/>
          <w:color w:val="000000"/>
          <w:sz w:val="28"/>
        </w:rPr>
        <w:t>（三）工作量估算与分工</w:t>
      </w:r>
      <w:bookmarkEnd w:id="24"/>
    </w:p>
    <w:p>
      <w:pPr>
        <w:pStyle w:val="Caption"/>
        <w:keepNext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表4-3 工作量估算（单人，规划值）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角色或工作</w:t>
            </w:r>
          </w:p>
        </w:tc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占比</w:t>
            </w:r>
          </w:p>
        </w:tc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核心系统（扫描、清理、资源、网络、学习通）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40%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Rust 或 .NET 实现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 UI（树、拖拽、看板、面板）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30%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React 或 Vue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测试与安全验证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15%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含误删防护用例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合规、文档与打包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15%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合规评审、使用说明、安装包</w:t>
            </w:r>
          </w:p>
        </w:tc>
      </w:tr>
    </w:tbl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单人全职约 12 周，兼职约 16 至 20 周。若组建小团队，建议后端 1 人、前端 1 人、测试 1 人，周期可压缩至约 8 周。</w:t>
      </w:r>
    </w:p>
    <w:p>
      <w:pPr>
        <w:pStyle w:val="Heading2"/>
      </w:pPr>
      <w:bookmarkStart w:id="25" w:name="_LarkToc00025"/>
      <w:r>
        <w:rPr>
          <w:rFonts w:ascii="Times New Roman" w:hAnsi="Times New Roman" w:eastAsia="黑体"/>
          <w:b/>
          <w:color w:val="000000"/>
          <w:sz w:val="28"/>
        </w:rPr>
        <w:t>（四）里程碑验收标准</w:t>
      </w:r>
      <w:bookmarkEnd w:id="25"/>
    </w:p>
    <w:p>
      <w:pPr>
        <w:pStyle w:val="Caption"/>
        <w:keepNext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表4-4 里程碑验收标准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6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里程碑</w:t>
            </w:r>
          </w:p>
        </w:tc>
        <w:tc>
          <w:tcPr>
            <w:tcW w:type="dxa" w:w="4536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验收标准</w:t>
            </w:r>
          </w:p>
        </w:tc>
      </w:tr>
      <w:tr>
        <w:trPr>
          <w:cantSplit/>
        </w:trPr>
        <w:tc>
          <w:tcPr>
            <w:tcW w:type="dxa" w:w="4536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M0</w:t>
            </w:r>
          </w:p>
        </w:tc>
        <w:tc>
          <w:tcPr>
            <w:tcW w:type="dxa" w:w="4536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需求与合规红线书面确认；技术栈选定</w:t>
            </w:r>
          </w:p>
        </w:tc>
      </w:tr>
      <w:tr>
        <w:trPr>
          <w:cantSplit/>
        </w:trPr>
        <w:tc>
          <w:tcPr>
            <w:tcW w:type="dxa" w:w="4536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M1</w:t>
            </w:r>
          </w:p>
        </w:tc>
        <w:tc>
          <w:tcPr>
            <w:tcW w:type="dxa" w:w="4536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PoC 报告通过：扫描性能达标、学习通接口可用、内存 API 有效</w:t>
            </w:r>
          </w:p>
        </w:tc>
      </w:tr>
      <w:tr>
        <w:trPr>
          <w:cantSplit/>
        </w:trPr>
        <w:tc>
          <w:tcPr>
            <w:tcW w:type="dxa" w:w="4536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M2</w:t>
            </w:r>
          </w:p>
        </w:tc>
        <w:tc>
          <w:tcPr>
            <w:tcW w:type="dxa" w:w="4536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功能三验收清单全部通过（见六（二））</w:t>
            </w:r>
          </w:p>
        </w:tc>
      </w:tr>
      <w:tr>
        <w:trPr>
          <w:cantSplit/>
        </w:trPr>
        <w:tc>
          <w:tcPr>
            <w:tcW w:type="dxa" w:w="4536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M3</w:t>
            </w:r>
          </w:p>
        </w:tc>
        <w:tc>
          <w:tcPr>
            <w:tcW w:type="dxa" w:w="4536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作业同步与提醒在真实账号下连续 3 天稳定</w:t>
            </w:r>
          </w:p>
        </w:tc>
      </w:tr>
      <w:tr>
        <w:trPr>
          <w:cantSplit/>
        </w:trPr>
        <w:tc>
          <w:tcPr>
            <w:tcW w:type="dxa" w:w="4536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M4</w:t>
            </w:r>
          </w:p>
        </w:tc>
        <w:tc>
          <w:tcPr>
            <w:tcW w:type="dxa" w:w="4536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自动清理按调度触发，前台无感</w:t>
            </w:r>
          </w:p>
        </w:tc>
      </w:tr>
      <w:tr>
        <w:trPr>
          <w:cantSplit/>
        </w:trPr>
        <w:tc>
          <w:tcPr>
            <w:tcW w:type="dxa" w:w="4536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M5</w:t>
            </w:r>
          </w:p>
        </w:tc>
        <w:tc>
          <w:tcPr>
            <w:tcW w:type="dxa" w:w="4536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合规评审通过；加速功能可用且可回滚</w:t>
            </w:r>
          </w:p>
        </w:tc>
      </w:tr>
      <w:tr>
        <w:trPr>
          <w:cantSplit/>
        </w:trPr>
        <w:tc>
          <w:tcPr>
            <w:tcW w:type="dxa" w:w="4536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M6</w:t>
            </w:r>
          </w:p>
        </w:tc>
        <w:tc>
          <w:tcPr>
            <w:tcW w:type="dxa" w:w="4536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P0 为零，P1 不超过 5；兼容 Windows 10 与 11</w:t>
            </w:r>
          </w:p>
        </w:tc>
      </w:tr>
      <w:tr>
        <w:trPr>
          <w:cantSplit/>
        </w:trPr>
        <w:tc>
          <w:tcPr>
            <w:tcW w:type="dxa" w:w="4536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M7</w:t>
            </w:r>
          </w:p>
        </w:tc>
        <w:tc>
          <w:tcPr>
            <w:tcW w:type="dxa" w:w="4536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Beta 安装包可安装、可升级</w:t>
            </w:r>
          </w:p>
        </w:tc>
      </w:tr>
    </w:tbl>
    <w:p>
      <w:pPr>
        <w:pStyle w:val="Heading1"/>
      </w:pPr>
      <w:bookmarkStart w:id="26" w:name="_LarkToc00026"/>
      <w:r>
        <w:rPr>
          <w:rFonts w:ascii="Times New Roman" w:hAnsi="Times New Roman" w:eastAsia="黑体"/>
          <w:b/>
          <w:color w:val="000000"/>
          <w:sz w:val="32"/>
        </w:rPr>
        <w:t>五、风险管理</w:t>
      </w:r>
      <w:bookmarkEnd w:id="26"/>
    </w:p>
    <w:p>
      <w:pPr>
        <w:pStyle w:val="Heading2"/>
      </w:pPr>
      <w:bookmarkStart w:id="27" w:name="_LarkToc00027"/>
      <w:r>
        <w:rPr>
          <w:rFonts w:ascii="Times New Roman" w:hAnsi="Times New Roman" w:eastAsia="黑体"/>
          <w:b/>
          <w:color w:val="000000"/>
          <w:sz w:val="28"/>
        </w:rPr>
        <w:t>（一）风险登记册</w:t>
      </w:r>
      <w:bookmarkEnd w:id="27"/>
    </w:p>
    <w:p>
      <w:pPr>
        <w:pStyle w:val="Caption"/>
        <w:keepNext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表5-1 风险登记册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 w:val="true"/>
        </w:trPr>
        <w:tc>
          <w:tcPr>
            <w:tcW w:type="dxa" w:w="1512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编号</w:t>
            </w:r>
          </w:p>
        </w:tc>
        <w:tc>
          <w:tcPr>
            <w:tcW w:type="dxa" w:w="1512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风险</w:t>
            </w:r>
          </w:p>
        </w:tc>
        <w:tc>
          <w:tcPr>
            <w:tcW w:type="dxa" w:w="1512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类别</w:t>
            </w:r>
          </w:p>
        </w:tc>
        <w:tc>
          <w:tcPr>
            <w:tcW w:type="dxa" w:w="1512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概率</w:t>
            </w:r>
          </w:p>
        </w:tc>
        <w:tc>
          <w:tcPr>
            <w:tcW w:type="dxa" w:w="1512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影响</w:t>
            </w:r>
          </w:p>
        </w:tc>
        <w:tc>
          <w:tcPr>
            <w:tcW w:type="dxa" w:w="1512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应对措施</w:t>
            </w:r>
          </w:p>
        </w:tc>
      </w:tr>
      <w:tr>
        <w:trPr>
          <w:cantSplit/>
        </w:trPr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R1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功能一合规风险（红线失守）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合规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低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高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合规评审前置；功能开关；红线清单固化并回归（见五（二））</w:t>
            </w:r>
          </w:p>
        </w:tc>
      </w:tr>
      <w:tr>
        <w:trPr>
          <w:cantSplit/>
        </w:trPr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R2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学习通接口变更或风控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技术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中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中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适配层隔离；频率控制；降级方案</w:t>
            </w:r>
          </w:p>
        </w:tc>
      </w:tr>
      <w:tr>
        <w:trPr>
          <w:cantSplit/>
        </w:trPr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R3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误删用户文件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安全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中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高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默认回收站；白名单；二次确认；恢复日志；误删用例测试</w:t>
            </w:r>
          </w:p>
        </w:tc>
      </w:tr>
      <w:tr>
        <w:trPr>
          <w:cantSplit/>
        </w:trPr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R4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全盘扫描性能不足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技术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中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中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并行加增量加后台；PoC 先行压测</w:t>
            </w:r>
          </w:p>
        </w:tc>
      </w:tr>
      <w:tr>
        <w:trPr>
          <w:cantSplit/>
        </w:trPr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R5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杀毒软件误报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外部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中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中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代码签名；行为说明；少用高危 API</w:t>
            </w:r>
          </w:p>
        </w:tc>
      </w:tr>
      <w:tr>
        <w:trPr>
          <w:cantSplit/>
        </w:trPr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R6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Rust 或新技术学习成本拖期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项目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中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中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PoC 先行；备选 .NET；任务拆分</w:t>
            </w:r>
          </w:p>
        </w:tc>
      </w:tr>
      <w:tr>
        <w:trPr>
          <w:cantSplit/>
        </w:trPr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R7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功能四效果不及预期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技术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中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中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如实设定验收指标；提供效果报告；避免过度承诺</w:t>
            </w:r>
          </w:p>
        </w:tc>
      </w:tr>
      <w:tr>
        <w:trPr>
          <w:cantSplit/>
        </w:trPr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R8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隐私与数据安全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安全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低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高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本地存储、最小权限、DPAPI、不上传</w:t>
            </w:r>
          </w:p>
        </w:tc>
      </w:tr>
    </w:tbl>
    <w:p>
      <w:pPr>
        <w:pStyle w:val="Heading2"/>
      </w:pPr>
      <w:bookmarkStart w:id="28" w:name="_LarkToc00028"/>
      <w:r>
        <w:rPr>
          <w:rFonts w:ascii="Times New Roman" w:hAnsi="Times New Roman" w:eastAsia="黑体"/>
          <w:b/>
          <w:color w:val="000000"/>
          <w:sz w:val="28"/>
        </w:rPr>
        <w:t>（二）合规专项说明</w:t>
      </w:r>
      <w:bookmarkEnd w:id="28"/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功能一红线清单（纳入评审与回归用例）：不得内置或自动实施绕过网络管理措施的功能；不得修改 hosts 等系统文件以实现绕过；不得内置代理或 VPN 通道；不得提供针对受限资源的自动访问能力。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功能二红线：仅本人账号、频率受控、数据本地、遵守平台条款。功能三与功能四安全底线：默认回收站、白名单保护、不杀进程、全部操作可审计。相关法律依据见附录A。</w:t>
      </w:r>
    </w:p>
    <w:p>
      <w:pPr>
        <w:pStyle w:val="Heading2"/>
      </w:pPr>
      <w:bookmarkStart w:id="29" w:name="_LarkToc00029"/>
      <w:r>
        <w:rPr>
          <w:rFonts w:ascii="Times New Roman" w:hAnsi="Times New Roman" w:eastAsia="黑体"/>
          <w:b/>
          <w:color w:val="000000"/>
          <w:sz w:val="28"/>
        </w:rPr>
        <w:t>（三）数据安全与隐私设计</w:t>
      </w:r>
      <w:bookmarkEnd w:id="29"/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所有数据本地存储；学习通凭据经 DPAPI 加密；不上传任何文件路径、文件内容与访问日志；遵循最小权限原则；卸载或退出时提供清除本地数据选项。</w:t>
      </w:r>
    </w:p>
    <w:p>
      <w:pPr>
        <w:pStyle w:val="Heading1"/>
      </w:pPr>
      <w:bookmarkStart w:id="30" w:name="_LarkToc00030"/>
      <w:r>
        <w:rPr>
          <w:rFonts w:ascii="Times New Roman" w:hAnsi="Times New Roman" w:eastAsia="黑体"/>
          <w:b/>
          <w:color w:val="000000"/>
          <w:sz w:val="32"/>
        </w:rPr>
        <w:t>六、测试与验收</w:t>
      </w:r>
      <w:bookmarkEnd w:id="30"/>
    </w:p>
    <w:p>
      <w:pPr>
        <w:pStyle w:val="Heading2"/>
      </w:pPr>
      <w:bookmarkStart w:id="31" w:name="_LarkToc00031"/>
      <w:r>
        <w:rPr>
          <w:rFonts w:ascii="Times New Roman" w:hAnsi="Times New Roman" w:eastAsia="黑体"/>
          <w:b/>
          <w:color w:val="000000"/>
          <w:sz w:val="28"/>
        </w:rPr>
        <w:t>（一）测试策略</w:t>
      </w:r>
      <w:bookmarkEnd w:id="31"/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测试分层：单元测试覆盖各引擎核心逻辑；集成测试覆盖模块间调用；端到端测试在 Windows 10 与 Windows 11 真机执行。专项测试包括安全测试（误删防护、红线回归）、性能测试（扫描耗时、拖拽响应）与兼容性测试。</w:t>
      </w:r>
    </w:p>
    <w:p>
      <w:pPr>
        <w:pStyle w:val="Heading2"/>
      </w:pPr>
      <w:bookmarkStart w:id="32" w:name="_LarkToc00032"/>
      <w:r>
        <w:rPr>
          <w:rFonts w:ascii="Times New Roman" w:hAnsi="Times New Roman" w:eastAsia="黑体"/>
          <w:b/>
          <w:color w:val="000000"/>
          <w:sz w:val="28"/>
        </w:rPr>
        <w:t>（二）验收标准</w:t>
      </w:r>
      <w:bookmarkEnd w:id="32"/>
    </w:p>
    <w:p>
      <w:pPr>
        <w:pStyle w:val="Caption"/>
        <w:keepNext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表6-1 验收标准（按功能，可测）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模块</w:t>
            </w:r>
          </w:p>
        </w:tc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验收项</w:t>
            </w:r>
          </w:p>
        </w:tc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可测标准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功能一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合规红线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代码评审确认无任何绕过网络管理措施的实现（回归用例）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功能一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加速生效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可直连场景克隆加速不少于 2 倍；配置一键回滚成功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功能二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作业同步准确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真实账号连续 7 天，未交、已交、逾期状态与平台一致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功能二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提醒及时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截止前 24 小时、6 小时、1 小时提醒到达率 100%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功能三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扫描完整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与系统资源管理器文件数误差不超过 1%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功能三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识别覆盖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常见 10 类文件抽样识别正确率不低于 90%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功能三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误删防护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高危目录删除全部被拦截；普通删除全部可恢复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功能三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拖拽正确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100 次拖拽移动与删除用例通过率 100%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功能四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自动触发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阈值触发 5 次测试全部在预期条件触发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功能四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前台无感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前台进程工作集不被压缩（豁免断言）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通用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兼容性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Windows 10 21H2、Windows 11 23H2 实机通过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通用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崩溃率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Beta 期崩溃率低于 1%</w:t>
            </w:r>
          </w:p>
        </w:tc>
      </w:tr>
    </w:tbl>
    <w:p>
      <w:pPr>
        <w:pStyle w:val="Heading2"/>
      </w:pPr>
      <w:bookmarkStart w:id="33" w:name="_LarkToc00033"/>
      <w:r>
        <w:rPr>
          <w:rFonts w:ascii="Times New Roman" w:hAnsi="Times New Roman" w:eastAsia="黑体"/>
          <w:b/>
          <w:color w:val="000000"/>
          <w:sz w:val="28"/>
        </w:rPr>
        <w:t>（三）缺陷分级与发布门禁</w:t>
      </w:r>
      <w:bookmarkEnd w:id="33"/>
    </w:p>
    <w:p>
      <w:pPr>
        <w:pStyle w:val="Caption"/>
        <w:keepNext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表6-2 缺陷分级与发布门禁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级别</w:t>
            </w:r>
          </w:p>
        </w:tc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定义</w:t>
            </w:r>
          </w:p>
        </w:tc>
        <w:tc>
          <w:tcPr>
            <w:tcW w:type="dxa" w:w="3024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发布要求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数据丢失、误删、崩溃、红线违规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Beta 前必须清零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主流程失败、核心功能不可用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Beta 时不高于 5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功能缺陷但可绕过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记录并修复</w:t>
            </w:r>
          </w:p>
        </w:tc>
      </w:tr>
      <w:tr>
        <w:trPr>
          <w:cantSplit/>
        </w:trPr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P3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体验问题</w:t>
            </w:r>
          </w:p>
        </w:tc>
        <w:tc>
          <w:tcPr>
            <w:tcW w:type="dxa" w:w="3024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排期修复</w:t>
            </w:r>
          </w:p>
        </w:tc>
      </w:tr>
    </w:tbl>
    <w:p>
      <w:pPr>
        <w:pStyle w:val="Heading1"/>
      </w:pPr>
      <w:bookmarkStart w:id="34" w:name="_LarkToc00034"/>
      <w:r>
        <w:rPr>
          <w:rFonts w:ascii="Times New Roman" w:hAnsi="Times New Roman" w:eastAsia="黑体"/>
          <w:b/>
          <w:color w:val="000000"/>
          <w:sz w:val="32"/>
        </w:rPr>
        <w:t>七、发布与后续规划</w:t>
      </w:r>
      <w:bookmarkEnd w:id="34"/>
    </w:p>
    <w:p>
      <w:pPr>
        <w:pStyle w:val="Heading2"/>
      </w:pPr>
      <w:bookmarkStart w:id="35" w:name="_LarkToc00035"/>
      <w:r>
        <w:rPr>
          <w:rFonts w:ascii="Times New Roman" w:hAnsi="Times New Roman" w:eastAsia="黑体"/>
          <w:b/>
          <w:color w:val="000000"/>
          <w:sz w:val="28"/>
        </w:rPr>
        <w:t>（一）发布形态</w:t>
      </w:r>
      <w:bookmarkEnd w:id="35"/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Windows 安装包（NSIS 或 MSIX），可选代码签名与自动更新；Beta 阶段提供便携版便于快速反馈。</w:t>
      </w:r>
    </w:p>
    <w:p>
      <w:pPr>
        <w:pStyle w:val="Heading2"/>
      </w:pPr>
      <w:bookmarkStart w:id="36" w:name="_LarkToc00036"/>
      <w:r>
        <w:rPr>
          <w:rFonts w:ascii="Times New Roman" w:hAnsi="Times New Roman" w:eastAsia="黑体"/>
          <w:b/>
          <w:color w:val="000000"/>
          <w:sz w:val="28"/>
        </w:rPr>
        <w:t>（二）版本规划</w:t>
      </w:r>
      <w:bookmarkEnd w:id="36"/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版本路线：V0.1 Alpha（M2 后内部验证）至 V1.0 Beta（M7）至 V1.0 正式版（Beta 稳定后）至 V1.1（性能与体验优化）至 V2.0（功能扩展）。</w:t>
      </w:r>
    </w:p>
    <w:p>
      <w:pPr>
        <w:pStyle w:val="Heading2"/>
      </w:pPr>
      <w:bookmarkStart w:id="37" w:name="_LarkToc00037"/>
      <w:r>
        <w:rPr>
          <w:rFonts w:ascii="Times New Roman" w:hAnsi="Times New Roman" w:eastAsia="黑体"/>
          <w:b/>
          <w:color w:val="000000"/>
          <w:sz w:val="28"/>
        </w:rPr>
        <w:t>（三）扩展方向</w:t>
      </w:r>
      <w:bookmarkEnd w:id="37"/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后续扩展方向：多语言支持；macOS 版本；可选云同步（需单独隐私评审）；企业微信、钉钉或邮件提醒联动；插件化扩展机制。</w:t>
      </w:r>
    </w:p>
    <w:p>
      <w:r>
        <w:br w:type="page"/>
      </w:r>
    </w:p>
    <w:p>
      <w:pPr>
        <w:spacing w:before="0" w:after="240"/>
        <w:ind w:firstLine="0" w:firstLineChars="0"/>
        <w:jc w:val="center"/>
      </w:pPr>
      <w:r>
        <w:rPr>
          <w:rFonts w:ascii="Times New Roman" w:hAnsi="Times New Roman" w:eastAsia="黑体"/>
          <w:b/>
          <w:sz w:val="32"/>
        </w:rPr>
        <w:t>附录A 引用与参考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本项目计划书引用的法律法规与参考项目信息均已联网核实，见下表。</w:t>
      </w:r>
    </w:p>
    <w:p>
      <w:pPr>
        <w:pStyle w:val="Caption"/>
        <w:keepNext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表A-1 引用与参考核查表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 w:val="true"/>
        </w:trPr>
        <w:tc>
          <w:tcPr>
            <w:tcW w:type="dxa" w:w="1512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引用名称</w:t>
            </w:r>
          </w:p>
        </w:tc>
        <w:tc>
          <w:tcPr>
            <w:tcW w:type="dxa" w:w="1512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文号或编号</w:t>
            </w:r>
          </w:p>
        </w:tc>
        <w:tc>
          <w:tcPr>
            <w:tcW w:type="dxa" w:w="1512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发布机关</w:t>
            </w:r>
          </w:p>
        </w:tc>
        <w:tc>
          <w:tcPr>
            <w:tcW w:type="dxa" w:w="1512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发布与修订年份</w:t>
            </w:r>
          </w:p>
        </w:tc>
        <w:tc>
          <w:tcPr>
            <w:tcW w:type="dxa" w:w="1512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现行有效性</w:t>
            </w:r>
          </w:p>
        </w:tc>
        <w:tc>
          <w:tcPr>
            <w:tcW w:type="dxa" w:w="1512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来源</w:t>
            </w:r>
          </w:p>
        </w:tc>
      </w:tr>
      <w:tr>
        <w:trPr>
          <w:cantSplit/>
        </w:trPr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《中华人民共和国网络安全法》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主席令第五十三号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全国人大常委会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2016年通过，2017年6月1日施行，2025年修正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现行有效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https://www.cac.gov.cn/2025-12/29/c_1768735112911946.htm</w:t>
            </w:r>
          </w:p>
        </w:tc>
      </w:tr>
      <w:tr>
        <w:trPr>
          <w:cantSplit/>
        </w:trPr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《计算机信息网络国际联网管理暂行规定》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国务院令第195号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国务院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1996年发布，1997年修正，2024年第二次修订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现行有效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https://xzfg.moj.gov.cn/law/download?LawID=1713&amp;type=pdf&amp;t=1770784126624</w:t>
            </w:r>
          </w:p>
        </w:tc>
      </w:tr>
      <w:tr>
        <w:trPr>
          <w:cantSplit/>
        </w:trPr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《中华人民共和国个人信息保护法》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主席令第九十一号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全国人大常委会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2021年通过，2021年11月1日施行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现行有效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http://www.npc.gov.cn/npc/c2/c30834/202108/t20210820_313088.html</w:t>
            </w:r>
          </w:p>
        </w:tc>
      </w:tr>
      <w:tr>
        <w:trPr>
          <w:cantSplit/>
        </w:trPr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crystalidea/uninstall-tool（GitHub 参考项目）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GitHub / CrystalIDEA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截至2026年10月约127 stars、31 commits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512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https://github.com/crystalidea/uninstall-tool</w:t>
            </w:r>
          </w:p>
        </w:tc>
      </w:tr>
    </w:tbl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说明：上述法律法规信息检索时间为 2026 年 10 月 7 日；如后续有修订，以官方发布为准。</w:t>
      </w:r>
    </w:p>
    <w:p>
      <w:r>
        <w:br w:type="page"/>
      </w:r>
    </w:p>
    <w:p>
      <w:pPr>
        <w:spacing w:before="0" w:after="240"/>
        <w:ind w:firstLine="0" w:firstLineChars="0"/>
        <w:jc w:val="center"/>
      </w:pPr>
      <w:r>
        <w:rPr>
          <w:rFonts w:ascii="Times New Roman" w:hAnsi="Times New Roman" w:eastAsia="黑体"/>
          <w:b/>
          <w:sz w:val="32"/>
        </w:rPr>
        <w:t>附录B 待确认事项清单</w:t>
      </w:r>
    </w:p>
    <w:p>
      <w:pPr>
        <w:spacing w:before="0" w:after="0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以下事项需由项目发起人确认，确认完成后即可冻结 M0 需求基线。</w:t>
      </w:r>
    </w:p>
    <w:p>
      <w:pPr>
        <w:pStyle w:val="Caption"/>
        <w:keepNext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表B-1 待确认事项清单</w:t>
      </w:r>
    </w:p>
    <w:tbl>
      <w:tblPr>
        <w:tblStyle w:val="TableGrid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2268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事项</w:t>
            </w:r>
          </w:p>
        </w:tc>
        <w:tc>
          <w:tcPr>
            <w:tcW w:type="dxa" w:w="2268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建议默认值</w:t>
            </w:r>
          </w:p>
        </w:tc>
        <w:tc>
          <w:tcPr>
            <w:tcW w:type="dxa" w:w="2268"/>
            <w:shd w:val="clear" w:fill="D9D9D9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影响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插件名称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待定（暂用名：全能办公助手）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品牌与安装包命名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技术栈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Tauri 2.x 加 Rust（推荐）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工期与学习成本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学习通登录方式与实现方案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手机号或学号登录加私有接口（PoC 验证）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功能二实现路径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功能一合规边界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仅合规加速，不做任何绕过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功能范围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开发投入形态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全职约 12 周或兼职 16 至 20 周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排期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扫描范围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默认全部盘符（可配置仅 C 盘）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扫描性能与安全</w:t>
            </w:r>
          </w:p>
        </w:tc>
      </w:tr>
      <w:tr>
        <w:trPr>
          <w:cantSplit/>
        </w:trPr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P3 功能取舍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默认暂缓（iCal 导出、加速效果报告）</w:t>
            </w:r>
          </w:p>
        </w:tc>
        <w:tc>
          <w:tcPr>
            <w:tcW w:type="dxa" w:w="2268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>
            <w:pPr>
              <w:spacing w:line="240" w:lineRule="auto" w:before="0" w:after="0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范围控制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sz w:val="21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d49a4e9f8988c6823bf634207c1c6b41486d085ce9022306c3ec4db3437af4c5:addb9ab4c597260f05593727a958b1e6488d0ef96c2665e9803fe3286d940bf8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全能办公助手插件 项目计划书</dc:title>
  <dc:subject/>
  <dc:creator>（待填写）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