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06100" w:rsidRDefault="005A20D2">
      <w:pPr>
        <w:rPr>
          <w:b/>
          <w:sz w:val="30"/>
          <w:szCs w:val="30"/>
        </w:rPr>
      </w:pPr>
      <w:bookmarkStart w:id="0" w:name="_GoBack"/>
      <w:bookmarkEnd w:id="0"/>
      <w:r>
        <w:rPr>
          <w:b/>
          <w:sz w:val="30"/>
          <w:szCs w:val="30"/>
        </w:rPr>
        <w:t>CHECK LIST DO AUTO DE INFRAÇÃO</w:t>
      </w:r>
    </w:p>
    <w:p w14:paraId="00000002" w14:textId="77777777" w:rsidR="00D06100" w:rsidRDefault="00D06100"/>
    <w:p w14:paraId="00000003" w14:textId="77777777" w:rsidR="00D06100" w:rsidRDefault="005A20D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Conforme aprendemos, a lei traz uma “receita” que precisa ser observada pelos agentes de trânsito na hora de lavrar o auto de infração de trânsito, isso para trazer </w:t>
      </w:r>
      <w:r>
        <w:rPr>
          <w:b/>
          <w:sz w:val="28"/>
          <w:szCs w:val="28"/>
          <w:u w:val="single"/>
        </w:rPr>
        <w:t>segurança jurídica e uniformização</w:t>
      </w:r>
      <w:r>
        <w:rPr>
          <w:sz w:val="28"/>
          <w:szCs w:val="28"/>
        </w:rPr>
        <w:t xml:space="preserve"> na hora de lavrar o AIT, bem como quando o motorista vai exercer o direito de defesa.</w:t>
      </w:r>
    </w:p>
    <w:p w14:paraId="00000004" w14:textId="77777777" w:rsidR="00D06100" w:rsidRDefault="00D06100">
      <w:pPr>
        <w:jc w:val="both"/>
        <w:rPr>
          <w:sz w:val="28"/>
          <w:szCs w:val="28"/>
        </w:rPr>
      </w:pPr>
    </w:p>
    <w:p w14:paraId="00000005" w14:textId="77777777" w:rsidR="00D06100" w:rsidRDefault="005A20D2">
      <w:pPr>
        <w:jc w:val="both"/>
        <w:rPr>
          <w:sz w:val="28"/>
          <w:szCs w:val="28"/>
        </w:rPr>
      </w:pPr>
      <w:r>
        <w:rPr>
          <w:sz w:val="28"/>
          <w:szCs w:val="28"/>
        </w:rPr>
        <w:t>Vale dizer que um único modelo de defesa/recurso, não serve para TODAS as multas! Sempre será necessário adaptar para o caso concreto.</w:t>
      </w:r>
    </w:p>
    <w:p w14:paraId="00000006" w14:textId="77777777" w:rsidR="00D06100" w:rsidRDefault="00D06100">
      <w:pPr>
        <w:jc w:val="both"/>
        <w:rPr>
          <w:sz w:val="28"/>
          <w:szCs w:val="28"/>
        </w:rPr>
      </w:pPr>
    </w:p>
    <w:p w14:paraId="00000007" w14:textId="77777777" w:rsidR="00D06100" w:rsidRDefault="005A20D2">
      <w:pPr>
        <w:jc w:val="both"/>
        <w:rPr>
          <w:sz w:val="28"/>
          <w:szCs w:val="28"/>
        </w:rPr>
      </w:pPr>
      <w:r>
        <w:rPr>
          <w:sz w:val="28"/>
          <w:szCs w:val="28"/>
        </w:rPr>
        <w:t>Algumas teses, sim, são as mesma</w:t>
      </w:r>
      <w:r>
        <w:rPr>
          <w:sz w:val="28"/>
          <w:szCs w:val="28"/>
        </w:rPr>
        <w:t xml:space="preserve">s, mas o conteúdo do recurso, razões,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, não será exatamente igual, pois o recurso precisa ser adaptado ao caso do cliente.</w:t>
      </w:r>
    </w:p>
    <w:p w14:paraId="00000008" w14:textId="77777777" w:rsidR="00D06100" w:rsidRDefault="00D06100">
      <w:pPr>
        <w:jc w:val="both"/>
        <w:rPr>
          <w:sz w:val="28"/>
          <w:szCs w:val="28"/>
        </w:rPr>
      </w:pPr>
    </w:p>
    <w:p w14:paraId="00000009" w14:textId="77777777" w:rsidR="00D06100" w:rsidRDefault="00D06100">
      <w:pPr>
        <w:jc w:val="both"/>
        <w:rPr>
          <w:sz w:val="28"/>
          <w:szCs w:val="28"/>
        </w:rPr>
      </w:pPr>
    </w:p>
    <w:p w14:paraId="0000000A" w14:textId="77777777" w:rsidR="00D06100" w:rsidRDefault="005A20D2">
      <w:pPr>
        <w:jc w:val="both"/>
        <w:rPr>
          <w:sz w:val="28"/>
          <w:szCs w:val="28"/>
        </w:rPr>
      </w:pPr>
      <w:r>
        <w:rPr>
          <w:sz w:val="28"/>
          <w:szCs w:val="28"/>
        </w:rPr>
        <w:t>Então, sempre que estiver com um AIT em mãos é necessário verificar:</w:t>
      </w:r>
    </w:p>
    <w:p w14:paraId="0000000B" w14:textId="77777777" w:rsidR="00D06100" w:rsidRDefault="00D06100">
      <w:pPr>
        <w:jc w:val="both"/>
        <w:rPr>
          <w:sz w:val="28"/>
          <w:szCs w:val="28"/>
        </w:rPr>
      </w:pPr>
    </w:p>
    <w:p w14:paraId="0000000C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O art. 280 do CTB;</w:t>
      </w:r>
    </w:p>
    <w:p w14:paraId="0000000D" w14:textId="77777777" w:rsidR="00D06100" w:rsidRDefault="00D06100">
      <w:pPr>
        <w:jc w:val="both"/>
        <w:rPr>
          <w:sz w:val="28"/>
          <w:szCs w:val="28"/>
        </w:rPr>
      </w:pPr>
    </w:p>
    <w:p w14:paraId="0000000E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art. do CTB da infração específica, </w:t>
      </w:r>
      <w:r>
        <w:rPr>
          <w:sz w:val="28"/>
          <w:szCs w:val="28"/>
        </w:rPr>
        <w:t>para ver se tem medida administrativa, fator multiplicador, etc.</w:t>
      </w:r>
    </w:p>
    <w:p w14:paraId="0000000F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10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O art. 3º da Resolução 918 do CONTRAN</w:t>
      </w:r>
    </w:p>
    <w:p w14:paraId="00000011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12" w14:textId="77777777" w:rsidR="00D06100" w:rsidRDefault="005A20D2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Ficha do tipo infracional no Manual Brasileiro de Fiscalização de Trânsito - MBFT</w:t>
      </w:r>
    </w:p>
    <w:p w14:paraId="00000013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14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Questões de inconsistências e irregularidades. Nos volumes I e II do</w:t>
      </w:r>
      <w:r>
        <w:rPr>
          <w:sz w:val="28"/>
          <w:szCs w:val="28"/>
        </w:rPr>
        <w:t xml:space="preserve"> MBFT você vai encontrar mais informações, como já estudado.</w:t>
      </w:r>
    </w:p>
    <w:p w14:paraId="00000015" w14:textId="77777777" w:rsidR="00D06100" w:rsidRDefault="005A20D2">
      <w:pPr>
        <w:numPr>
          <w:ilvl w:val="1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Consistência: o AIT demonstrou o cometimento de infração? Ou seja, a infração está devidamente tipificada, observando todas as variáveis da ficha do MBFT e o campo “não autuar”?</w:t>
      </w:r>
    </w:p>
    <w:p w14:paraId="00000016" w14:textId="77777777" w:rsidR="00D06100" w:rsidRDefault="005A20D2">
      <w:pPr>
        <w:numPr>
          <w:ilvl w:val="1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Verificar se houv</w:t>
      </w:r>
      <w:r>
        <w:rPr>
          <w:sz w:val="28"/>
          <w:szCs w:val="28"/>
        </w:rPr>
        <w:t>e DOLO do condutor infrator, exemplo das infrações previstas no art. 253-A e 175 do CTB.</w:t>
      </w:r>
    </w:p>
    <w:p w14:paraId="00000017" w14:textId="77777777" w:rsidR="00D06100" w:rsidRDefault="005A20D2">
      <w:pPr>
        <w:numPr>
          <w:ilvl w:val="1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Legibilidade: Não pode ter rasura, emendas, uso de corretivo ou qualquer tipo de adulteração e deve estar legível, possibilitando o exercício do contraditório e da amp</w:t>
      </w:r>
      <w:r>
        <w:rPr>
          <w:sz w:val="28"/>
          <w:szCs w:val="28"/>
        </w:rPr>
        <w:t>la defesa.</w:t>
      </w:r>
    </w:p>
    <w:p w14:paraId="00000018" w14:textId="77777777" w:rsidR="00D06100" w:rsidRDefault="00D06100">
      <w:pPr>
        <w:ind w:left="1440"/>
        <w:jc w:val="both"/>
        <w:rPr>
          <w:sz w:val="28"/>
          <w:szCs w:val="28"/>
        </w:rPr>
      </w:pPr>
    </w:p>
    <w:p w14:paraId="00000019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Verificar a existência de Resoluções específicas, como, por exemplo, a Resolução 798/20 do CONTRAN que trata da fiscalização do excesso de velocidade e a Resolução 432 do CONTRAN que trata da fiscalização da conduta de dirigir sob efeito de álcool;</w:t>
      </w:r>
    </w:p>
    <w:p w14:paraId="0000001A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1B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Portar</w:t>
      </w:r>
      <w:r>
        <w:rPr>
          <w:sz w:val="28"/>
          <w:szCs w:val="28"/>
        </w:rPr>
        <w:t>ia n° 354 da SENATRAN que estabelece os campos de informações que deverão constar no AIT;</w:t>
      </w:r>
    </w:p>
    <w:p w14:paraId="0000001C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1D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Há medida administrativa? O MBFT exige que haja medida administrativa? Se não houve aplicação da medida administrativa, há violação do Princípio da Finalidade da nor</w:t>
      </w:r>
      <w:r>
        <w:rPr>
          <w:sz w:val="28"/>
          <w:szCs w:val="28"/>
        </w:rPr>
        <w:t>ma?</w:t>
      </w:r>
    </w:p>
    <w:p w14:paraId="0000001E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1F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Há convênio do órgão </w:t>
      </w:r>
      <w:proofErr w:type="spellStart"/>
      <w:r>
        <w:rPr>
          <w:sz w:val="28"/>
          <w:szCs w:val="28"/>
        </w:rPr>
        <w:t>autuador</w:t>
      </w:r>
      <w:proofErr w:type="spellEnd"/>
      <w:r>
        <w:rPr>
          <w:sz w:val="28"/>
          <w:szCs w:val="28"/>
        </w:rPr>
        <w:t xml:space="preserve"> com a PM?</w:t>
      </w:r>
    </w:p>
    <w:p w14:paraId="00000020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21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Tem legislação complementar? Lei, como a lei seca ou Portaria, como a do INMETRO?</w:t>
      </w:r>
    </w:p>
    <w:p w14:paraId="00000022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23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O ato administrativo foi praticado com a finalidade que dele se espera?</w:t>
      </w:r>
    </w:p>
    <w:p w14:paraId="00000024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25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Se for recurso à JARI (1ª instância) verificar se a de</w:t>
      </w:r>
      <w:r>
        <w:rPr>
          <w:sz w:val="28"/>
          <w:szCs w:val="28"/>
        </w:rPr>
        <w:t>cisão anterior exauriu os tópicos apresentados na defesa, ou seja, se não houve violação ao Princípio da Motivação;</w:t>
      </w:r>
    </w:p>
    <w:p w14:paraId="00000026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27" w14:textId="77777777" w:rsidR="00D06100" w:rsidRDefault="005A20D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Observar os prazos das notificações (30 dias para a NA e 180 ou 360 dias para a NP)</w:t>
      </w:r>
    </w:p>
    <w:p w14:paraId="00000028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29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2A" w14:textId="77777777" w:rsidR="00D06100" w:rsidRDefault="005A20D2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Se o AIT está em desconformidade com qualquer dos ite</w:t>
      </w:r>
      <w:r>
        <w:rPr>
          <w:sz w:val="28"/>
          <w:szCs w:val="28"/>
        </w:rPr>
        <w:t>ns acima, é causa de nulidade com base no art. 281, §1º, I do CTB.</w:t>
      </w:r>
    </w:p>
    <w:p w14:paraId="0000002B" w14:textId="77777777" w:rsidR="00D06100" w:rsidRDefault="00D06100">
      <w:pPr>
        <w:ind w:left="720"/>
        <w:jc w:val="both"/>
        <w:rPr>
          <w:sz w:val="28"/>
          <w:szCs w:val="28"/>
        </w:rPr>
      </w:pPr>
    </w:p>
    <w:p w14:paraId="0000002C" w14:textId="77777777" w:rsidR="00D06100" w:rsidRDefault="005A20D2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Você pode juntar provas que corroborem suas alegações, mas lembre-se, não adianta provar que o proprietário do veículo estava em um lugar diferente do veículo. É necessário provar que o </w:t>
      </w:r>
      <w:r>
        <w:rPr>
          <w:b/>
          <w:sz w:val="28"/>
          <w:szCs w:val="28"/>
          <w:u w:val="single"/>
        </w:rPr>
        <w:t>ve</w:t>
      </w:r>
      <w:r>
        <w:rPr>
          <w:b/>
          <w:sz w:val="28"/>
          <w:szCs w:val="28"/>
          <w:u w:val="single"/>
        </w:rPr>
        <w:t xml:space="preserve">ículo </w:t>
      </w:r>
      <w:r>
        <w:rPr>
          <w:sz w:val="28"/>
          <w:szCs w:val="28"/>
        </w:rPr>
        <w:t>não estava no local da infração!</w:t>
      </w:r>
    </w:p>
    <w:sectPr w:rsidR="00D061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A625C"/>
    <w:multiLevelType w:val="multilevel"/>
    <w:tmpl w:val="4C968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817A42"/>
    <w:multiLevelType w:val="multilevel"/>
    <w:tmpl w:val="363E5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100"/>
    <w:rsid w:val="005A20D2"/>
    <w:rsid w:val="00D0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20F17A-CF0D-45BC-9296-DEE72F55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20D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20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Marco</cp:lastModifiedBy>
  <cp:revision>2</cp:revision>
  <cp:lastPrinted>2023-08-22T13:55:00Z</cp:lastPrinted>
  <dcterms:created xsi:type="dcterms:W3CDTF">2023-08-22T13:55:00Z</dcterms:created>
  <dcterms:modified xsi:type="dcterms:W3CDTF">2023-08-22T13:55:00Z</dcterms:modified>
</cp:coreProperties>
</file>