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3A95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8"/>
          <w:szCs w:val="28"/>
        </w:rPr>
      </w:pPr>
      <w:r w:rsidRPr="0088427C">
        <w:rPr>
          <w:rStyle w:val="nfase"/>
          <w:rFonts w:asciiTheme="minorHAnsi" w:hAnsiTheme="minorHAnsi" w:cstheme="minorHAnsi"/>
          <w:b/>
          <w:bCs/>
          <w:color w:val="1D1D1D"/>
          <w:sz w:val="28"/>
          <w:szCs w:val="28"/>
        </w:rPr>
        <w:t>ETILÔMETRO SEM VERIFICAÇÃO ANUAL</w:t>
      </w:r>
    </w:p>
    <w:p w14:paraId="6E283DF1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Forte"/>
          <w:rFonts w:asciiTheme="minorHAnsi" w:hAnsiTheme="minorHAnsi" w:cstheme="minorHAnsi"/>
          <w:color w:val="1D1D1D"/>
        </w:rPr>
        <w:t> </w:t>
      </w:r>
    </w:p>
    <w:p w14:paraId="18DD4243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Ainda é cabível suscitar a nulidade do teste de etilômetro, por se tratar de PROVA VICIADA, pois o aparelho utilizado para a realização do exame NÃO foi submetido a calibração nos últimos 12 (doze) meses, conforme prevê a Portaria 369/2021 do INMETRO, que assim diz:</w:t>
      </w:r>
    </w:p>
    <w:p w14:paraId="7B43B39E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6F4EA5D6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6.3.1 A verificação periódica deve ser realizada a cada doze meses.</w:t>
      </w:r>
    </w:p>
    <w:p w14:paraId="373D033F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3AB24F25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Dispõe o artigo 277, do Código de Trânsito Brasileiro, que:</w:t>
      </w:r>
    </w:p>
    <w:p w14:paraId="65930E50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55990507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Art. 277. 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O condutor de veículo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automotor envolvido em acidente de trânsito ou que for alvo de fiscalização de trânsito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poderá ser submetido a teste</w:t>
      </w:r>
      <w:r w:rsidRPr="0088427C">
        <w:rPr>
          <w:rStyle w:val="nfase"/>
          <w:rFonts w:asciiTheme="minorHAnsi" w:hAnsiTheme="minorHAnsi" w:cstheme="minorHAnsi"/>
          <w:color w:val="1D1D1D"/>
        </w:rPr>
        <w:t>, exame clínico, perícia ou outro procedimento que, por meios técnicos ou científicos, na forma disciplinada pelo Contran, permita certificar influência de álcool ou outra substância psicoativa que determine dependência. </w:t>
      </w:r>
    </w:p>
    <w:p w14:paraId="6A62C1F2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   </w:t>
      </w:r>
    </w:p>
    <w:p w14:paraId="69B74A09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Ainda, o artigo 280, estabelece que:</w:t>
      </w:r>
    </w:p>
    <w:p w14:paraId="37A0356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182D8D1B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Art. 280. Ocorrendo infração prevista na legislação de trânsito, lavrar-se-á auto de infração, do qual constará:</w:t>
      </w:r>
    </w:p>
    <w:p w14:paraId="268B12BC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 [...]</w:t>
      </w:r>
    </w:p>
    <w:p w14:paraId="405A8C8A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 § 2º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 infração deverá ser comprovada por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declaração da autoridade ou do agente da autoridade de trânsito, por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aparelho eletrônico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ou por equipamento audiovisual, reações químicas ou qualquer outro meio tecnologicamente disponível,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previamente regulamentado pelo CONTRAN.</w:t>
      </w:r>
    </w:p>
    <w:p w14:paraId="6CCE6698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4542B49A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Nesse sentido, o CONTRAN, ao regulamentar a matéria, através de sua Resolução 432, estabeleceu que:</w:t>
      </w:r>
    </w:p>
    <w:p w14:paraId="2B175AA1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39FC8E6E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Art. 3º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 confirmação da alteração da capacidade psicomotora em razão da influência de álcool ou de outra substância psicoativa que determine dependência dar-se-á por meio de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, pelo menos, um dos seguintes procedimentos a serem realizados no condutor de veículo automotor: </w:t>
      </w:r>
    </w:p>
    <w:p w14:paraId="28F0F7CA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(…)</w:t>
      </w:r>
    </w:p>
    <w:p w14:paraId="3F5ED474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 xml:space="preserve">III – teste em aparelho destinado à medição do teor alcoólico no ar alveolar (etilômetro); </w:t>
      </w:r>
    </w:p>
    <w:p w14:paraId="3409385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 </w:t>
      </w:r>
    </w:p>
    <w:p w14:paraId="60C31F0C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 respeito do aparelho destinado à medição do teor alcoólico, a mesma resolução estabeleceu os seguintes requisitos:</w:t>
      </w:r>
    </w:p>
    <w:p w14:paraId="388AE71A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43D09ED2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Art. 4º O etilômetro deve atender aos seguintes requisitos:</w:t>
      </w:r>
    </w:p>
    <w:p w14:paraId="3569B7FB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I – </w:t>
      </w:r>
      <w:proofErr w:type="gramStart"/>
      <w:r w:rsidRPr="0088427C">
        <w:rPr>
          <w:rStyle w:val="nfase"/>
          <w:rFonts w:asciiTheme="minorHAnsi" w:hAnsiTheme="minorHAnsi" w:cstheme="minorHAnsi"/>
          <w:color w:val="1D1D1D"/>
        </w:rPr>
        <w:t>ter</w:t>
      </w:r>
      <w:proofErr w:type="gramEnd"/>
      <w:r w:rsidRPr="0088427C">
        <w:rPr>
          <w:rStyle w:val="nfase"/>
          <w:rFonts w:asciiTheme="minorHAnsi" w:hAnsiTheme="minorHAnsi" w:cstheme="minorHAnsi"/>
          <w:color w:val="1D1D1D"/>
        </w:rPr>
        <w:t xml:space="preserve"> seu modelo aprovado pelo INMETRO;</w:t>
      </w:r>
    </w:p>
    <w:p w14:paraId="33C3DBEB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II – </w:t>
      </w:r>
      <w:proofErr w:type="gramStart"/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ser</w:t>
      </w:r>
      <w:proofErr w:type="gramEnd"/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 xml:space="preserve"> aprovado na verificação metrológica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inicial, eventual, em serviço e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anual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realizadas pelo Instituto Nacional de Metrologia, Qualidade e </w:t>
      </w:r>
      <w:r w:rsidRPr="0088427C">
        <w:rPr>
          <w:rStyle w:val="nfase"/>
          <w:rFonts w:asciiTheme="minorHAnsi" w:hAnsiTheme="minorHAnsi" w:cstheme="minorHAnsi"/>
          <w:color w:val="1D1D1D"/>
        </w:rPr>
        <w:lastRenderedPageBreak/>
        <w:t>Tecnologia - INMETRO ou por órgão da Rede Brasileira de Metrologia Legal e Qualidade - RBMLQ;</w:t>
      </w:r>
    </w:p>
    <w:p w14:paraId="7BD8A800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41B1FBD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 xml:space="preserve">Logo, não tendo sido verificado periodicamente, no intervalo de um ano, pelo INMETRO, o aparelho </w:t>
      </w:r>
      <w:r w:rsidRPr="0088427C">
        <w:rPr>
          <w:rStyle w:val="Forte"/>
          <w:rFonts w:asciiTheme="minorHAnsi" w:hAnsiTheme="minorHAnsi" w:cstheme="minorHAnsi"/>
          <w:color w:val="1D1D1D"/>
        </w:rPr>
        <w:t xml:space="preserve">COM PRAZO DE VALIDADE DE VERIFICAÇÃO EXPIRADO, </w:t>
      </w:r>
      <w:r w:rsidRPr="0088427C">
        <w:rPr>
          <w:rFonts w:asciiTheme="minorHAnsi" w:hAnsiTheme="minorHAnsi" w:cstheme="minorHAnsi"/>
          <w:color w:val="1D1D1D"/>
        </w:rPr>
        <w:t>não se presta a auferir qualquer quantidade de álcool no ar alveolar de qualquer condutor.</w:t>
      </w:r>
    </w:p>
    <w:p w14:paraId="64173A0D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6A1AE17B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Assim, se o aparelho foi utilizado de forma ilícita, o resultado por ele produzido também foi ilícito e, por isso, não pode ser admitido como prova no processo administrativo.</w:t>
      </w:r>
    </w:p>
    <w:p w14:paraId="244926F1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2567BDAD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Sendo NULA a prova produzida, não há como se considerar válida a autuação, dada a necessidade de apresentação de provas materiais legais que comprovem o cometimento da infração.</w:t>
      </w:r>
    </w:p>
    <w:p w14:paraId="17E44C53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2C50C1A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 xml:space="preserve">Segundo o Manual Brasileiro de Fiscalização de Trânsito,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“Quando essa infração dependa de informações complementadas estas devem constar do campo de observações.”</w:t>
      </w:r>
    </w:p>
    <w:p w14:paraId="3121F1AB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b/>
          <w:bCs/>
          <w:color w:val="1D1D1D"/>
        </w:rPr>
        <w:t> </w:t>
      </w:r>
    </w:p>
    <w:p w14:paraId="7E410A54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 xml:space="preserve">Em que pese ser uma exigência legal, prevista como sendo um procedimento obrigatório em todo o território nacional, computando o auto de infração não se verifica </w:t>
      </w:r>
      <w:r w:rsidRPr="0088427C">
        <w:rPr>
          <w:rStyle w:val="Forte"/>
          <w:rFonts w:asciiTheme="minorHAnsi" w:hAnsiTheme="minorHAnsi" w:cstheme="minorHAnsi"/>
          <w:color w:val="1D1D1D"/>
          <w:u w:val="single"/>
        </w:rPr>
        <w:t>QUALQUER MENÇÃO À VISTORIA ANUAL DO APARELHO ELETRÔNICO.</w:t>
      </w:r>
    </w:p>
    <w:p w14:paraId="20363739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5AF13F2D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E diante da expressa violação ao princípio da legalidade, o cancelamento da autuação em apreço é medida que se impõe, consoante determina o artigo 281, do CTB.</w:t>
      </w:r>
    </w:p>
    <w:p w14:paraId="768C4153" w14:textId="77777777" w:rsidR="00EF1CDB" w:rsidRPr="0088427C" w:rsidRDefault="00EF1CDB" w:rsidP="0088427C">
      <w:pPr>
        <w:rPr>
          <w:rFonts w:asciiTheme="minorHAnsi" w:hAnsiTheme="minorHAnsi" w:cstheme="minorHAnsi"/>
          <w:sz w:val="24"/>
          <w:szCs w:val="24"/>
        </w:rPr>
      </w:pPr>
    </w:p>
    <w:sectPr w:rsidR="00EF1CDB" w:rsidRPr="00884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0DB7D" w14:textId="77777777" w:rsidR="00400A40" w:rsidRDefault="00400A40" w:rsidP="0088427C">
      <w:pPr>
        <w:spacing w:after="0" w:line="240" w:lineRule="auto"/>
      </w:pPr>
      <w:r>
        <w:separator/>
      </w:r>
    </w:p>
  </w:endnote>
  <w:endnote w:type="continuationSeparator" w:id="0">
    <w:p w14:paraId="5F4276B6" w14:textId="77777777" w:rsidR="00400A40" w:rsidRDefault="00400A40" w:rsidP="0088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65D74" w14:textId="77777777" w:rsidR="00400A40" w:rsidRDefault="00400A40" w:rsidP="0088427C">
      <w:pPr>
        <w:spacing w:after="0" w:line="240" w:lineRule="auto"/>
      </w:pPr>
      <w:r>
        <w:separator/>
      </w:r>
    </w:p>
  </w:footnote>
  <w:footnote w:type="continuationSeparator" w:id="0">
    <w:p w14:paraId="3F998381" w14:textId="77777777" w:rsidR="00400A40" w:rsidRDefault="00400A40" w:rsidP="00884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2567"/>
    <w:multiLevelType w:val="multilevel"/>
    <w:tmpl w:val="BD5C08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asciiTheme="majorHAnsi" w:hAnsiTheme="majorHAnsi" w:cstheme="majorHAnsi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4DD34E56"/>
    <w:multiLevelType w:val="multilevel"/>
    <w:tmpl w:val="F0C45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408886">
    <w:abstractNumId w:val="1"/>
  </w:num>
  <w:num w:numId="2" w16cid:durableId="202585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4F"/>
    <w:rsid w:val="00400A40"/>
    <w:rsid w:val="0088427C"/>
    <w:rsid w:val="00A21E18"/>
    <w:rsid w:val="00DF724F"/>
    <w:rsid w:val="00EF1CDB"/>
    <w:rsid w:val="00FB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1F52"/>
  <w15:docId w15:val="{1E2EDD6B-2821-48CF-A881-25EFABD8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24F"/>
    <w:rPr>
      <w:rFonts w:ascii="Calibri" w:eastAsia="Calibri" w:hAnsi="Calibri" w:cs="Calibri"/>
      <w:kern w:val="0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724F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F724F"/>
    <w:rPr>
      <w:rFonts w:ascii="Calibri" w:eastAsia="Calibri" w:hAnsi="Calibri" w:cs="Calibri"/>
      <w:b/>
      <w:kern w:val="0"/>
      <w:sz w:val="36"/>
      <w:szCs w:val="36"/>
      <w:lang w:eastAsia="pt-BR"/>
      <w14:ligatures w14:val="none"/>
    </w:rPr>
  </w:style>
  <w:style w:type="paragraph" w:customStyle="1" w:styleId="ql-align-justify">
    <w:name w:val="ql-align-justify"/>
    <w:basedOn w:val="Normal"/>
    <w:rsid w:val="0088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8427C"/>
    <w:rPr>
      <w:b/>
      <w:bCs/>
    </w:rPr>
  </w:style>
  <w:style w:type="character" w:styleId="nfase">
    <w:name w:val="Emphasis"/>
    <w:basedOn w:val="Fontepargpadro"/>
    <w:uiPriority w:val="20"/>
    <w:qFormat/>
    <w:rsid w:val="0088427C"/>
    <w:rPr>
      <w:i/>
      <w:iCs/>
    </w:rPr>
  </w:style>
  <w:style w:type="paragraph" w:customStyle="1" w:styleId="ql-indent-1">
    <w:name w:val="ql-indent-1"/>
    <w:basedOn w:val="Normal"/>
    <w:rsid w:val="0088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518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cp:lastPrinted>2023-03-27T13:18:00Z</cp:lastPrinted>
  <dcterms:created xsi:type="dcterms:W3CDTF">2023-03-27T12:19:00Z</dcterms:created>
  <dcterms:modified xsi:type="dcterms:W3CDTF">2023-03-27T15:16:00Z</dcterms:modified>
</cp:coreProperties>
</file>