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643A95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8"/>
          <w:szCs w:val="28"/>
        </w:rPr>
      </w:pPr>
      <w:bookmarkStart w:id="0" w:name="_GoBack"/>
      <w:bookmarkEnd w:id="0"/>
      <w:r w:rsidRPr="0088427C">
        <w:rPr>
          <w:rStyle w:val="nfase"/>
          <w:rFonts w:asciiTheme="minorHAnsi" w:hAnsiTheme="minorHAnsi" w:cstheme="minorHAnsi"/>
          <w:b/>
          <w:bCs/>
          <w:color w:val="1D1D1D"/>
          <w:sz w:val="28"/>
          <w:szCs w:val="28"/>
        </w:rPr>
        <w:t>ETILÔMETRO SEM VERIFICAÇÃO ANUAL</w:t>
      </w:r>
    </w:p>
    <w:p w14:paraId="6E283DF1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Forte"/>
          <w:rFonts w:asciiTheme="minorHAnsi" w:hAnsiTheme="minorHAnsi" w:cstheme="minorHAnsi"/>
          <w:color w:val="1D1D1D"/>
        </w:rPr>
        <w:t> </w:t>
      </w:r>
    </w:p>
    <w:p w14:paraId="18DD4243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Ainda é cabível suscitar a nulidade do teste de etilômetro, por se tratar de PROVA VICIADA, pois o aparelho utilizado para a realização do exame NÃO foi submetido a calibração nos últimos 12 (doze) meses, conforme prevê a Portaria 369/2021 do INMETRO, que assim diz:</w:t>
      </w:r>
    </w:p>
    <w:p w14:paraId="7B43B39E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6F4EA5D6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>6.3.1 A verificação periódica deve ser realizada a cada doze meses.</w:t>
      </w:r>
    </w:p>
    <w:p w14:paraId="373D033F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3AB24F25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Dispõe o artigo 277, do Código de Trânsito Brasileiro, que:</w:t>
      </w:r>
    </w:p>
    <w:p w14:paraId="65930E50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55990507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>Art. 277. 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O condutor de veículo</w:t>
      </w:r>
      <w:r w:rsidRPr="0088427C">
        <w:rPr>
          <w:rStyle w:val="nfase"/>
          <w:rFonts w:asciiTheme="minorHAnsi" w:hAnsiTheme="minorHAnsi" w:cstheme="minorHAnsi"/>
          <w:color w:val="1D1D1D"/>
        </w:rPr>
        <w:t xml:space="preserve"> automotor envolvido em acidente de trânsito ou que for alvo de fiscalização de trânsito 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poderá ser submetido a teste</w:t>
      </w:r>
      <w:r w:rsidRPr="0088427C">
        <w:rPr>
          <w:rStyle w:val="nfase"/>
          <w:rFonts w:asciiTheme="minorHAnsi" w:hAnsiTheme="minorHAnsi" w:cstheme="minorHAnsi"/>
          <w:color w:val="1D1D1D"/>
        </w:rPr>
        <w:t>, exame clínico, perícia ou outro procedimento que, por meios técnicos ou científicos, na forma disciplinada pelo Contran, permita certificar influência de álcool ou outra substância psicoativa que determine dependência. </w:t>
      </w:r>
    </w:p>
    <w:p w14:paraId="6A62C1F2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   </w:t>
      </w:r>
    </w:p>
    <w:p w14:paraId="69B74A09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Ainda, o artigo 280, estabelece que:</w:t>
      </w:r>
    </w:p>
    <w:p w14:paraId="37A03567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182D8D1B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>Art. 280. Ocorrendo infração prevista na legislação de trânsito, lavrar-se-á auto de infração, do qual constará:</w:t>
      </w:r>
    </w:p>
    <w:p w14:paraId="268B12BC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> [...]</w:t>
      </w:r>
    </w:p>
    <w:p w14:paraId="405A8C8A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 xml:space="preserve"> § 2º 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A infração deverá ser comprovada por</w:t>
      </w:r>
      <w:r w:rsidRPr="0088427C">
        <w:rPr>
          <w:rStyle w:val="nfase"/>
          <w:rFonts w:asciiTheme="minorHAnsi" w:hAnsiTheme="minorHAnsi" w:cstheme="minorHAnsi"/>
          <w:color w:val="1D1D1D"/>
        </w:rPr>
        <w:t xml:space="preserve"> declaração da autoridade ou do agente da autoridade de trânsito, por 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aparelho eletrônico</w:t>
      </w:r>
      <w:r w:rsidRPr="0088427C">
        <w:rPr>
          <w:rStyle w:val="nfase"/>
          <w:rFonts w:asciiTheme="minorHAnsi" w:hAnsiTheme="minorHAnsi" w:cstheme="minorHAnsi"/>
          <w:color w:val="1D1D1D"/>
        </w:rPr>
        <w:t xml:space="preserve"> ou por equipamento audiovisual, reações químicas ou qualquer outro meio tecnologicamente disponível, 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previamente regulamentado pelo CONTRAN.</w:t>
      </w:r>
    </w:p>
    <w:p w14:paraId="6CCE6698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</w:p>
    <w:p w14:paraId="4542B49A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Nesse sentido, o CONTRAN, ao regulamentar a matéria, através de sua Resolução 432, estabeleceu que:</w:t>
      </w:r>
    </w:p>
    <w:p w14:paraId="2B175AA1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39FC8E6E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 xml:space="preserve">Art. 3º 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A confirmação da alteração da capacidade psicomotora em razão da influência de álcool ou de outra substância psicoativa que determine dependência dar-se-á por meio de</w:t>
      </w:r>
      <w:r w:rsidRPr="0088427C">
        <w:rPr>
          <w:rStyle w:val="nfase"/>
          <w:rFonts w:asciiTheme="minorHAnsi" w:hAnsiTheme="minorHAnsi" w:cstheme="minorHAnsi"/>
          <w:color w:val="1D1D1D"/>
        </w:rPr>
        <w:t xml:space="preserve">, pelo menos, um dos seguintes procedimentos a serem realizados no condutor de veículo automotor: </w:t>
      </w:r>
    </w:p>
    <w:p w14:paraId="28F0F7CA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>(…)</w:t>
      </w:r>
    </w:p>
    <w:p w14:paraId="3F5ED474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 xml:space="preserve">III – teste em aparelho destinado à medição do teor alcoólico no ar alveolar (etilômetro); </w:t>
      </w:r>
    </w:p>
    <w:p w14:paraId="34093857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> </w:t>
      </w:r>
    </w:p>
    <w:p w14:paraId="60C31F0C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A respeito do aparelho destinado à medição do teor alcoólico, a mesma resolução estabeleceu os seguintes requisitos:</w:t>
      </w:r>
    </w:p>
    <w:p w14:paraId="388AE71A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43D09ED2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>Art. 4º O etilômetro deve atender aos seguintes requisitos:</w:t>
      </w:r>
    </w:p>
    <w:p w14:paraId="3569B7FB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>I – ter seu modelo aprovado pelo INMETRO;</w:t>
      </w:r>
    </w:p>
    <w:p w14:paraId="33C3DBEB" w14:textId="77777777" w:rsidR="0088427C" w:rsidRPr="0088427C" w:rsidRDefault="0088427C" w:rsidP="0088427C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color w:val="1D1D1D"/>
        </w:rPr>
        <w:t xml:space="preserve">II – 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ser aprovado na verificação metrológica</w:t>
      </w:r>
      <w:r w:rsidRPr="0088427C">
        <w:rPr>
          <w:rStyle w:val="nfase"/>
          <w:rFonts w:asciiTheme="minorHAnsi" w:hAnsiTheme="minorHAnsi" w:cstheme="minorHAnsi"/>
          <w:color w:val="1D1D1D"/>
        </w:rPr>
        <w:t xml:space="preserve"> inicial, eventual, em serviço e 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anual</w:t>
      </w:r>
      <w:r w:rsidRPr="0088427C">
        <w:rPr>
          <w:rStyle w:val="nfase"/>
          <w:rFonts w:asciiTheme="minorHAnsi" w:hAnsiTheme="minorHAnsi" w:cstheme="minorHAnsi"/>
          <w:color w:val="1D1D1D"/>
        </w:rPr>
        <w:t xml:space="preserve"> realizadas pelo Instituto Nacional de Metrologia, Qualidade e </w:t>
      </w:r>
      <w:r w:rsidRPr="0088427C">
        <w:rPr>
          <w:rStyle w:val="nfase"/>
          <w:rFonts w:asciiTheme="minorHAnsi" w:hAnsiTheme="minorHAnsi" w:cstheme="minorHAnsi"/>
          <w:color w:val="1D1D1D"/>
        </w:rPr>
        <w:lastRenderedPageBreak/>
        <w:t>Tecnologia - INMETRO ou por órgão da Rede Brasileira de Metrologia Legal e Qualidade - RBMLQ;</w:t>
      </w:r>
    </w:p>
    <w:p w14:paraId="7BD8A800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41B1FBD7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 xml:space="preserve">Logo, não tendo sido verificado periodicamente, no intervalo de um ano, pelo INMETRO, o aparelho </w:t>
      </w:r>
      <w:r w:rsidRPr="0088427C">
        <w:rPr>
          <w:rStyle w:val="Forte"/>
          <w:rFonts w:asciiTheme="minorHAnsi" w:hAnsiTheme="minorHAnsi" w:cstheme="minorHAnsi"/>
          <w:color w:val="1D1D1D"/>
        </w:rPr>
        <w:t xml:space="preserve">COM PRAZO DE VALIDADE DE VERIFICAÇÃO EXPIRADO, </w:t>
      </w:r>
      <w:r w:rsidRPr="0088427C">
        <w:rPr>
          <w:rFonts w:asciiTheme="minorHAnsi" w:hAnsiTheme="minorHAnsi" w:cstheme="minorHAnsi"/>
          <w:color w:val="1D1D1D"/>
        </w:rPr>
        <w:t>não se presta a auferir qualquer quantidade de álcool no ar alveolar de qualquer condutor.</w:t>
      </w:r>
    </w:p>
    <w:p w14:paraId="64173A0D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6A1AE17B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Assim, se o aparelho foi utilizado de forma ilícita, o resultado por ele produzido também foi ilícito e, por isso, não pode ser admitido como prova no processo administrativo.</w:t>
      </w:r>
    </w:p>
    <w:p w14:paraId="244926F1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2567BDAD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Sendo NULA a prova produzida, não há como se considerar válida a autuação, dada a necessidade de apresentação de provas materiais legais que comprovem o cometimento da infração.</w:t>
      </w:r>
    </w:p>
    <w:p w14:paraId="17E44C53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2C50C1A7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 xml:space="preserve">Segundo o Manual Brasileiro de Fiscalização de Trânsito, </w:t>
      </w:r>
      <w:r w:rsidRPr="0088427C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“Quando essa infração dependa de informações complementadas estas devem constar do campo de observações.”</w:t>
      </w:r>
    </w:p>
    <w:p w14:paraId="3121F1AB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Style w:val="nfase"/>
          <w:rFonts w:asciiTheme="minorHAnsi" w:hAnsiTheme="minorHAnsi" w:cstheme="minorHAnsi"/>
          <w:b/>
          <w:bCs/>
          <w:color w:val="1D1D1D"/>
        </w:rPr>
        <w:t> </w:t>
      </w:r>
    </w:p>
    <w:p w14:paraId="7E410A54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 xml:space="preserve">Em que pese ser uma exigência legal, prevista como sendo um procedimento obrigatório em todo o território nacional, computando o auto de infração não se verifica </w:t>
      </w:r>
      <w:r w:rsidRPr="0088427C">
        <w:rPr>
          <w:rStyle w:val="Forte"/>
          <w:rFonts w:asciiTheme="minorHAnsi" w:hAnsiTheme="minorHAnsi" w:cstheme="minorHAnsi"/>
          <w:color w:val="1D1D1D"/>
          <w:u w:val="single"/>
        </w:rPr>
        <w:t>QUALQUER MENÇÃO À VISTORIA ANUAL DO APARELHO ELETRÔNICO.</w:t>
      </w:r>
    </w:p>
    <w:p w14:paraId="20363739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 </w:t>
      </w:r>
    </w:p>
    <w:p w14:paraId="5AF13F2D" w14:textId="77777777" w:rsidR="0088427C" w:rsidRPr="0088427C" w:rsidRDefault="0088427C" w:rsidP="0088427C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88427C">
        <w:rPr>
          <w:rFonts w:asciiTheme="minorHAnsi" w:hAnsiTheme="minorHAnsi" w:cstheme="minorHAnsi"/>
          <w:color w:val="1D1D1D"/>
        </w:rPr>
        <w:t>E diante da expressa violação ao princípio da legalidade, o cancelamento da autuação em apreço é medida que se impõe, consoante determina o artigo 281, do CTB.</w:t>
      </w:r>
    </w:p>
    <w:p w14:paraId="768C4153" w14:textId="77777777" w:rsidR="00EF1CDB" w:rsidRPr="0088427C" w:rsidRDefault="00EF1CDB" w:rsidP="0088427C">
      <w:pPr>
        <w:rPr>
          <w:rFonts w:asciiTheme="minorHAnsi" w:hAnsiTheme="minorHAnsi" w:cstheme="minorHAnsi"/>
          <w:sz w:val="24"/>
          <w:szCs w:val="24"/>
        </w:rPr>
      </w:pPr>
    </w:p>
    <w:sectPr w:rsidR="00EF1CDB" w:rsidRPr="008842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AE95C2" w14:textId="77777777" w:rsidR="00387B93" w:rsidRDefault="00387B93" w:rsidP="0088427C">
      <w:pPr>
        <w:spacing w:after="0" w:line="240" w:lineRule="auto"/>
      </w:pPr>
      <w:r>
        <w:separator/>
      </w:r>
    </w:p>
  </w:endnote>
  <w:endnote w:type="continuationSeparator" w:id="0">
    <w:p w14:paraId="56DFC90E" w14:textId="77777777" w:rsidR="00387B93" w:rsidRDefault="00387B93" w:rsidP="00884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FF279B" w14:textId="77777777" w:rsidR="00387B93" w:rsidRDefault="00387B93" w:rsidP="0088427C">
      <w:pPr>
        <w:spacing w:after="0" w:line="240" w:lineRule="auto"/>
      </w:pPr>
      <w:r>
        <w:separator/>
      </w:r>
    </w:p>
  </w:footnote>
  <w:footnote w:type="continuationSeparator" w:id="0">
    <w:p w14:paraId="1DA3BE6C" w14:textId="77777777" w:rsidR="00387B93" w:rsidRDefault="00387B93" w:rsidP="008842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A2567"/>
    <w:multiLevelType w:val="multilevel"/>
    <w:tmpl w:val="BD5C08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asciiTheme="majorHAnsi" w:hAnsiTheme="majorHAnsi" w:cstheme="majorHAnsi"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4DD34E56"/>
    <w:multiLevelType w:val="multilevel"/>
    <w:tmpl w:val="F0C45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24F"/>
    <w:rsid w:val="00387B93"/>
    <w:rsid w:val="00400A40"/>
    <w:rsid w:val="0088427C"/>
    <w:rsid w:val="00A21E18"/>
    <w:rsid w:val="00B23D9F"/>
    <w:rsid w:val="00DF724F"/>
    <w:rsid w:val="00EF1CDB"/>
    <w:rsid w:val="00FB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61F52"/>
  <w15:docId w15:val="{1E2EDD6B-2821-48CF-A881-25EFABD8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724F"/>
    <w:rPr>
      <w:rFonts w:ascii="Calibri" w:eastAsia="Calibri" w:hAnsi="Calibri" w:cs="Calibri"/>
      <w:kern w:val="0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F724F"/>
    <w:pPr>
      <w:keepNext/>
      <w:keepLines/>
      <w:spacing w:before="360" w:after="80"/>
      <w:outlineLvl w:val="1"/>
    </w:pPr>
    <w:rPr>
      <w:b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F724F"/>
    <w:rPr>
      <w:rFonts w:ascii="Calibri" w:eastAsia="Calibri" w:hAnsi="Calibri" w:cs="Calibri"/>
      <w:b/>
      <w:kern w:val="0"/>
      <w:sz w:val="36"/>
      <w:szCs w:val="36"/>
      <w:lang w:eastAsia="pt-BR"/>
      <w14:ligatures w14:val="none"/>
    </w:rPr>
  </w:style>
  <w:style w:type="paragraph" w:customStyle="1" w:styleId="ql-align-justify">
    <w:name w:val="ql-align-justify"/>
    <w:basedOn w:val="Normal"/>
    <w:rsid w:val="00884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8427C"/>
    <w:rPr>
      <w:b/>
      <w:bCs/>
    </w:rPr>
  </w:style>
  <w:style w:type="character" w:styleId="nfase">
    <w:name w:val="Emphasis"/>
    <w:basedOn w:val="Fontepargpadro"/>
    <w:uiPriority w:val="20"/>
    <w:qFormat/>
    <w:rsid w:val="0088427C"/>
    <w:rPr>
      <w:i/>
      <w:iCs/>
    </w:rPr>
  </w:style>
  <w:style w:type="paragraph" w:customStyle="1" w:styleId="ql-indent-1">
    <w:name w:val="ql-indent-1"/>
    <w:basedOn w:val="Normal"/>
    <w:rsid w:val="00884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6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Marco</cp:lastModifiedBy>
  <cp:revision>2</cp:revision>
  <cp:lastPrinted>2023-03-27T13:18:00Z</cp:lastPrinted>
  <dcterms:created xsi:type="dcterms:W3CDTF">2023-08-22T13:51:00Z</dcterms:created>
  <dcterms:modified xsi:type="dcterms:W3CDTF">2023-08-22T13:51:00Z</dcterms:modified>
</cp:coreProperties>
</file>