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CHECK LIST DO AUTO DE INFRAÇÃO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Conforme aprendemos, a lei traz uma “receita” que precisa ser observada pelos agentes de trânsito na hora de lavrar o auto de infração de trânsito, isso para trazer 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segurança jurídica e uniformização</w:t>
      </w:r>
      <w:r w:rsidDel="00000000" w:rsidR="00000000" w:rsidRPr="00000000">
        <w:rPr>
          <w:sz w:val="28"/>
          <w:szCs w:val="28"/>
          <w:rtl w:val="0"/>
        </w:rPr>
        <w:t xml:space="preserve"> na hora de lavrar o AIT, bem como quando o motorista vai exercer o direito de defesa.</w:t>
      </w:r>
    </w:p>
    <w:p w:rsidR="00000000" w:rsidDel="00000000" w:rsidP="00000000" w:rsidRDefault="00000000" w:rsidRPr="00000000" w14:paraId="0000000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Vale dizer que um único modelo de defesa/recurso, não serve para TODAS as multas! Sempre será necessário adaptar para o caso concreto.</w:t>
      </w:r>
    </w:p>
    <w:p w:rsidR="00000000" w:rsidDel="00000000" w:rsidP="00000000" w:rsidRDefault="00000000" w:rsidRPr="00000000" w14:paraId="0000000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Algumas teses, sim, são as mesmas, mas o conteúdo do recurso, razões, etc, não será exatamente igual, pois o recurso precisa ser adaptado ao caso do cliente.</w:t>
      </w:r>
    </w:p>
    <w:p w:rsidR="00000000" w:rsidDel="00000000" w:rsidP="00000000" w:rsidRDefault="00000000" w:rsidRPr="00000000" w14:paraId="0000000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Então, sempre que estiver com um AIT em mãos é necessário verificar:</w:t>
      </w:r>
    </w:p>
    <w:p w:rsidR="00000000" w:rsidDel="00000000" w:rsidP="00000000" w:rsidRDefault="00000000" w:rsidRPr="00000000" w14:paraId="0000000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art. 280 do CTB;</w:t>
      </w:r>
    </w:p>
    <w:p w:rsidR="00000000" w:rsidDel="00000000" w:rsidP="00000000" w:rsidRDefault="00000000" w:rsidRPr="00000000" w14:paraId="0000000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art. do CTB da infração específica, para ver se tem medida administrativa, fator multiplicador, etc.</w:t>
      </w:r>
    </w:p>
    <w:p w:rsidR="00000000" w:rsidDel="00000000" w:rsidP="00000000" w:rsidRDefault="00000000" w:rsidRPr="00000000" w14:paraId="0000000F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art. 3º da Resolução 918 do CONTRAN</w:t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Ficha do tipo infracional no Manual Brasileiro de Fiscalização de Trânsito - MBFT</w:t>
      </w:r>
    </w:p>
    <w:p w:rsidR="00000000" w:rsidDel="00000000" w:rsidP="00000000" w:rsidRDefault="00000000" w:rsidRPr="00000000" w14:paraId="00000013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Questões de inconsistências e irregularidades. Nos volumes I e II do MBFT você vai encontrar mais informações, como já estudado.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Consistência: o AIT demonstrou o cometimento de infração? Ou seja, a infração está devidamente tipificada, observando todas as variáveis da ficha do MBFT e o campo “não autuar”?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Verificar se houve DOLO do condutor infrator, exemplo das infrações previstas no art. 253-A e 175 do CTB.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Legibilidade: Não pode ter rasura, emendas, uso de corretivo ou qualquer tipo de adulteração e deve estar legível, possibilitando o exercício do contraditório e da ampla defesa.</w:t>
      </w:r>
    </w:p>
    <w:p w:rsidR="00000000" w:rsidDel="00000000" w:rsidP="00000000" w:rsidRDefault="00000000" w:rsidRPr="00000000" w14:paraId="00000018">
      <w:pPr>
        <w:ind w:left="144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Verificar a existência de Resoluções específicas, como, por exemplo, a Resolução 798/20 do CONTRAN que trata da fiscalização do excesso de velocidade e a Resolução 432 do CONTRAN que trata da fiscalização da conduta de dirigir sob efeito de álcool;</w:t>
      </w:r>
    </w:p>
    <w:p w:rsidR="00000000" w:rsidDel="00000000" w:rsidP="00000000" w:rsidRDefault="00000000" w:rsidRPr="00000000" w14:paraId="0000001A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Portaria n° 354 da SENATRAN que estabelece os campos de informações que deverão constar no AIT;</w:t>
      </w:r>
    </w:p>
    <w:p w:rsidR="00000000" w:rsidDel="00000000" w:rsidP="00000000" w:rsidRDefault="00000000" w:rsidRPr="00000000" w14:paraId="0000001C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Há medida administrativa? O MBFT exige que haja medida administrativa? Se não houve aplicação da medida administrativa, há violação do Princípio da Finalidade da norma?</w:t>
      </w:r>
    </w:p>
    <w:p w:rsidR="00000000" w:rsidDel="00000000" w:rsidP="00000000" w:rsidRDefault="00000000" w:rsidRPr="00000000" w14:paraId="0000001E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Há convênio do órgão autuador com a PM?</w:t>
      </w:r>
    </w:p>
    <w:p w:rsidR="00000000" w:rsidDel="00000000" w:rsidP="00000000" w:rsidRDefault="00000000" w:rsidRPr="00000000" w14:paraId="00000020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Tem legislação complementar? Lei, como a lei seca ou Portaria, como a do INMETRO?</w:t>
      </w:r>
    </w:p>
    <w:p w:rsidR="00000000" w:rsidDel="00000000" w:rsidP="00000000" w:rsidRDefault="00000000" w:rsidRPr="00000000" w14:paraId="00000022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 ato administrativo foi praticado com a finalidade que dele se espera?</w:t>
      </w:r>
    </w:p>
    <w:p w:rsidR="00000000" w:rsidDel="00000000" w:rsidP="00000000" w:rsidRDefault="00000000" w:rsidRPr="00000000" w14:paraId="00000024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 for recurso à JARI (1ª instância) verificar se a decisão anterior exauriu os tópicos apresentados na defesa, ou seja, se não houve violação ao Princípio da Motivação;</w:t>
      </w:r>
    </w:p>
    <w:p w:rsidR="00000000" w:rsidDel="00000000" w:rsidP="00000000" w:rsidRDefault="00000000" w:rsidRPr="00000000" w14:paraId="00000026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Observar os prazos das notificações (30 dias para a NA e 180 ou 360 dias para a NP)</w:t>
      </w:r>
    </w:p>
    <w:p w:rsidR="00000000" w:rsidDel="00000000" w:rsidP="00000000" w:rsidRDefault="00000000" w:rsidRPr="00000000" w14:paraId="00000028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o AIT está em desconformidade com qualquer dos itens acima, é causa de nulidade com base no art. 281, §1º, I do CTB.</w:t>
      </w:r>
    </w:p>
    <w:p w:rsidR="00000000" w:rsidDel="00000000" w:rsidP="00000000" w:rsidRDefault="00000000" w:rsidRPr="00000000" w14:paraId="0000002B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Você pode juntar provas que corroborem suas alegações, mas lembre-se, não adianta provar que o proprietário do veículo estava em um lugar diferente do veículo. É necessário provar que o 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veículo </w:t>
      </w:r>
      <w:r w:rsidDel="00000000" w:rsidR="00000000" w:rsidRPr="00000000">
        <w:rPr>
          <w:sz w:val="28"/>
          <w:szCs w:val="28"/>
          <w:rtl w:val="0"/>
        </w:rPr>
        <w:t xml:space="preserve">não estava no local da infração!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