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7CBB6" w14:textId="37068BC5" w:rsidR="00EF1CDB" w:rsidRDefault="00E33B1E">
      <w:pPr>
        <w:rPr>
          <w:b/>
          <w:bCs/>
        </w:rPr>
      </w:pPr>
      <w:r w:rsidRPr="00E33B1E">
        <w:rPr>
          <w:b/>
          <w:bCs/>
        </w:rPr>
        <w:t xml:space="preserve">DO </w:t>
      </w:r>
      <w:r w:rsidRPr="005A0C89">
        <w:rPr>
          <w:b/>
          <w:bCs/>
          <w:u w:val="single"/>
        </w:rPr>
        <w:t>JULGAMENTO DA CONSITÊNCIA</w:t>
      </w:r>
      <w:r w:rsidRPr="00E33B1E">
        <w:rPr>
          <w:b/>
          <w:bCs/>
        </w:rPr>
        <w:t xml:space="preserve"> DO AUTO DE INFRAÇÃO</w:t>
      </w:r>
      <w:r w:rsidR="005A0C89">
        <w:rPr>
          <w:b/>
          <w:bCs/>
        </w:rPr>
        <w:t xml:space="preserve"> – ERRO NA TIPIFICAÇÃO DA INFRAÇÃO</w:t>
      </w:r>
    </w:p>
    <w:p w14:paraId="5F3F42F4" w14:textId="18F87DBC" w:rsidR="00E33B1E" w:rsidRDefault="00E33B1E">
      <w:pPr>
        <w:rPr>
          <w:b/>
          <w:bCs/>
        </w:rPr>
      </w:pPr>
    </w:p>
    <w:p w14:paraId="0FFC48C7" w14:textId="57238E0E" w:rsidR="00E33B1E" w:rsidRDefault="00E33B1E" w:rsidP="005A0C89">
      <w:pPr>
        <w:jc w:val="both"/>
        <w:rPr>
          <w:sz w:val="20"/>
          <w:szCs w:val="20"/>
        </w:rPr>
      </w:pPr>
      <w:r>
        <w:t xml:space="preserve">No AIT aqui em discussão, foi possível constatar que houve erro na tipificação da infração, uma vez que, segundo campo “quando NÃO autuar”, item 3 do MBFT quando houver um único sinal de alteração da capacidade psicomotora, a infração é a prevista no art. 165-A do CTB, código de enquadramento n° </w:t>
      </w:r>
      <w:r>
        <w:rPr>
          <w:sz w:val="20"/>
          <w:szCs w:val="20"/>
        </w:rPr>
        <w:t>516-91</w:t>
      </w:r>
      <w:r>
        <w:rPr>
          <w:sz w:val="20"/>
          <w:szCs w:val="20"/>
        </w:rPr>
        <w:t>, vejamos:</w:t>
      </w:r>
    </w:p>
    <w:p w14:paraId="0817BD9A" w14:textId="0020DBAF" w:rsidR="00E33B1E" w:rsidRDefault="00E33B1E" w:rsidP="005A0C89">
      <w:pPr>
        <w:ind w:left="851"/>
        <w:jc w:val="both"/>
        <w:rPr>
          <w:i/>
          <w:iCs/>
          <w:sz w:val="20"/>
          <w:szCs w:val="20"/>
        </w:rPr>
      </w:pPr>
      <w:r w:rsidRPr="00E33B1E">
        <w:rPr>
          <w:i/>
          <w:iCs/>
          <w:sz w:val="20"/>
          <w:szCs w:val="20"/>
        </w:rPr>
        <w:t>3. Condutor que se recusar a</w:t>
      </w:r>
      <w:r w:rsidRPr="00E33B1E">
        <w:rPr>
          <w:i/>
          <w:iCs/>
          <w:sz w:val="20"/>
          <w:szCs w:val="20"/>
        </w:rPr>
        <w:t xml:space="preserve"> </w:t>
      </w:r>
      <w:r w:rsidRPr="00E33B1E">
        <w:rPr>
          <w:i/>
          <w:iCs/>
          <w:sz w:val="20"/>
          <w:szCs w:val="20"/>
        </w:rPr>
        <w:t>se submeter ao teste do</w:t>
      </w:r>
      <w:r w:rsidRPr="00E33B1E">
        <w:rPr>
          <w:i/>
          <w:iCs/>
          <w:sz w:val="20"/>
          <w:szCs w:val="20"/>
        </w:rPr>
        <w:t xml:space="preserve"> </w:t>
      </w:r>
      <w:r w:rsidRPr="00E33B1E">
        <w:rPr>
          <w:i/>
          <w:iCs/>
          <w:sz w:val="20"/>
          <w:szCs w:val="20"/>
        </w:rPr>
        <w:t>etilômetro ou a qualquer dos</w:t>
      </w:r>
      <w:r w:rsidRPr="00E33B1E">
        <w:rPr>
          <w:i/>
          <w:iCs/>
          <w:sz w:val="20"/>
          <w:szCs w:val="20"/>
        </w:rPr>
        <w:t xml:space="preserve"> </w:t>
      </w:r>
      <w:r w:rsidRPr="00E33B1E">
        <w:rPr>
          <w:i/>
          <w:iCs/>
          <w:sz w:val="20"/>
          <w:szCs w:val="20"/>
        </w:rPr>
        <w:t>procedimentos</w:t>
      </w:r>
      <w:r w:rsidRPr="00E33B1E">
        <w:rPr>
          <w:i/>
          <w:iCs/>
          <w:sz w:val="20"/>
          <w:szCs w:val="20"/>
        </w:rPr>
        <w:t xml:space="preserve"> p</w:t>
      </w:r>
      <w:r w:rsidRPr="00E33B1E">
        <w:rPr>
          <w:i/>
          <w:iCs/>
          <w:sz w:val="20"/>
          <w:szCs w:val="20"/>
        </w:rPr>
        <w:t>revistos no</w:t>
      </w:r>
      <w:r w:rsidRPr="00E33B1E">
        <w:rPr>
          <w:i/>
          <w:iCs/>
          <w:sz w:val="20"/>
          <w:szCs w:val="20"/>
        </w:rPr>
        <w:t xml:space="preserve"> </w:t>
      </w:r>
      <w:r w:rsidRPr="00E33B1E">
        <w:rPr>
          <w:i/>
          <w:iCs/>
          <w:sz w:val="20"/>
          <w:szCs w:val="20"/>
        </w:rPr>
        <w:t>art. 277 e não apresentar</w:t>
      </w:r>
      <w:r w:rsidRPr="00E33B1E">
        <w:rPr>
          <w:i/>
          <w:iCs/>
          <w:sz w:val="20"/>
          <w:szCs w:val="20"/>
        </w:rPr>
        <w:t xml:space="preserve"> </w:t>
      </w:r>
      <w:r w:rsidRPr="00E33B1E">
        <w:rPr>
          <w:i/>
          <w:iCs/>
          <w:sz w:val="20"/>
          <w:szCs w:val="20"/>
        </w:rPr>
        <w:t>sinais ou apresentar apenas</w:t>
      </w:r>
      <w:r w:rsidRPr="00E33B1E">
        <w:rPr>
          <w:i/>
          <w:iCs/>
          <w:sz w:val="20"/>
          <w:szCs w:val="20"/>
        </w:rPr>
        <w:t xml:space="preserve"> </w:t>
      </w:r>
      <w:r w:rsidRPr="00E33B1E">
        <w:rPr>
          <w:i/>
          <w:iCs/>
          <w:sz w:val="20"/>
          <w:szCs w:val="20"/>
        </w:rPr>
        <w:t>um sinal da alteração da</w:t>
      </w:r>
      <w:r w:rsidRPr="00E33B1E">
        <w:rPr>
          <w:i/>
          <w:iCs/>
          <w:sz w:val="20"/>
          <w:szCs w:val="20"/>
        </w:rPr>
        <w:t xml:space="preserve"> </w:t>
      </w:r>
      <w:r w:rsidRPr="00E33B1E">
        <w:rPr>
          <w:i/>
          <w:iCs/>
          <w:sz w:val="20"/>
          <w:szCs w:val="20"/>
        </w:rPr>
        <w:t>capacidade psicomotora,</w:t>
      </w:r>
      <w:r w:rsidRPr="00E33B1E">
        <w:rPr>
          <w:i/>
          <w:iCs/>
          <w:sz w:val="20"/>
          <w:szCs w:val="20"/>
        </w:rPr>
        <w:t xml:space="preserve"> </w:t>
      </w:r>
      <w:r w:rsidRPr="00E33B1E">
        <w:rPr>
          <w:i/>
          <w:iCs/>
          <w:sz w:val="20"/>
          <w:szCs w:val="20"/>
        </w:rPr>
        <w:t>utilizar enquadramento</w:t>
      </w:r>
      <w:r w:rsidRPr="00E33B1E">
        <w:rPr>
          <w:i/>
          <w:iCs/>
          <w:sz w:val="20"/>
          <w:szCs w:val="20"/>
        </w:rPr>
        <w:t xml:space="preserve"> </w:t>
      </w:r>
      <w:r w:rsidRPr="00E33B1E">
        <w:rPr>
          <w:i/>
          <w:iCs/>
          <w:sz w:val="20"/>
          <w:szCs w:val="20"/>
        </w:rPr>
        <w:t>específico: 757-90, art. 165-A.</w:t>
      </w:r>
    </w:p>
    <w:p w14:paraId="07987490" w14:textId="7EBC5D53" w:rsidR="005A0C89" w:rsidRDefault="005A0C89" w:rsidP="005A0C89">
      <w:pPr>
        <w:ind w:left="851"/>
        <w:jc w:val="both"/>
        <w:rPr>
          <w:i/>
          <w:iCs/>
          <w:sz w:val="20"/>
          <w:szCs w:val="20"/>
        </w:rPr>
      </w:pPr>
    </w:p>
    <w:p w14:paraId="1B553D65" w14:textId="20235CD8" w:rsidR="005A0C89" w:rsidRDefault="005A0C89" w:rsidP="005A0C89">
      <w:pPr>
        <w:jc w:val="both"/>
        <w:rPr>
          <w:sz w:val="20"/>
          <w:szCs w:val="20"/>
        </w:rPr>
      </w:pPr>
      <w:r>
        <w:rPr>
          <w:sz w:val="20"/>
          <w:szCs w:val="20"/>
        </w:rPr>
        <w:t>Assim, segundo a redação do art. 280 do CTB, é necessário que haja a tipificação da infração, pois, caso não esteja a infração devidamente tipificada, haverá nulidade do AIT, por ser o mesmo irregular, nos termos do que determina o próprio MBFT.</w:t>
      </w:r>
    </w:p>
    <w:p w14:paraId="07AD860A" w14:textId="26FBF09F" w:rsidR="005A0C89" w:rsidRDefault="005A0C89" w:rsidP="005A0C89">
      <w:pPr>
        <w:jc w:val="both"/>
        <w:rPr>
          <w:sz w:val="20"/>
          <w:szCs w:val="20"/>
        </w:rPr>
      </w:pPr>
    </w:p>
    <w:p w14:paraId="2A4AC613" w14:textId="7B66FA83" w:rsidR="005A0C89" w:rsidRPr="005A0C89" w:rsidRDefault="005A0C89" w:rsidP="005A0C89">
      <w:pPr>
        <w:jc w:val="both"/>
        <w:rPr>
          <w:sz w:val="20"/>
          <w:szCs w:val="20"/>
        </w:rPr>
      </w:pPr>
      <w:r>
        <w:rPr>
          <w:sz w:val="20"/>
          <w:szCs w:val="20"/>
        </w:rPr>
        <w:t>Destarte, requer a nulidade do AIT n° XXXXXXXX, com fundamento no art. 281, §1º, I do CTB.</w:t>
      </w:r>
    </w:p>
    <w:sectPr w:rsidR="005A0C89" w:rsidRPr="005A0C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Univer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1E"/>
    <w:rsid w:val="005A0C89"/>
    <w:rsid w:val="00A21E18"/>
    <w:rsid w:val="00E33B1E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BE837"/>
  <w15:chartTrackingRefBased/>
  <w15:docId w15:val="{3AFA49A7-7CB9-4175-8DCD-FA556E8E3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156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1</cp:revision>
  <dcterms:created xsi:type="dcterms:W3CDTF">2023-02-22T14:29:00Z</dcterms:created>
  <dcterms:modified xsi:type="dcterms:W3CDTF">2023-02-22T14:47:00Z</dcterms:modified>
</cp:coreProperties>
</file>