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67063" w14:textId="77777777" w:rsidR="00515E1C" w:rsidRDefault="00000000">
      <w:pPr>
        <w:numPr>
          <w:ilvl w:val="0"/>
          <w:numId w:val="1"/>
        </w:numPr>
        <w:shd w:val="clear" w:color="auto" w:fill="FFFFFF"/>
        <w:spacing w:line="240" w:lineRule="auto"/>
        <w:ind w:left="2977" w:hanging="283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b/>
          <w:i/>
          <w:sz w:val="24"/>
          <w:szCs w:val="24"/>
          <w:highlight w:val="yellow"/>
        </w:rPr>
        <w:t>PRELIMINAR</w:t>
      </w:r>
      <w:r>
        <w:rPr>
          <w:rFonts w:ascii="Calibri" w:eastAsia="Calibri" w:hAnsi="Calibri" w:cs="Calibri"/>
          <w:b/>
          <w:i/>
          <w:sz w:val="24"/>
          <w:szCs w:val="24"/>
        </w:rPr>
        <w:t xml:space="preserve"> - DA VIOLAÇÃO AO DIREITO DE AMPLA DEFESA E DO CONTRADITÓRIO: </w:t>
      </w:r>
      <w:r>
        <w:rPr>
          <w:rFonts w:ascii="Calibri" w:eastAsia="Calibri" w:hAnsi="Calibri" w:cs="Calibri"/>
          <w:b/>
          <w:i/>
          <w:sz w:val="24"/>
          <w:szCs w:val="24"/>
          <w:highlight w:val="yellow"/>
        </w:rPr>
        <w:t>INFRATOR NÃO É O PROPRIETÁRIO DO VEÍCULO AUTUADO</w:t>
      </w:r>
    </w:p>
    <w:p w14:paraId="59E2625A" w14:textId="77777777" w:rsidR="00515E1C" w:rsidRDefault="00515E1C">
      <w:pPr>
        <w:shd w:val="clear" w:color="auto" w:fill="FFFFFF"/>
        <w:spacing w:line="240" w:lineRule="auto"/>
        <w:ind w:left="2977"/>
        <w:jc w:val="both"/>
        <w:rPr>
          <w:rFonts w:ascii="Calibri" w:eastAsia="Calibri" w:hAnsi="Calibri" w:cs="Calibri"/>
          <w:b/>
          <w:i/>
          <w:sz w:val="24"/>
          <w:szCs w:val="24"/>
        </w:rPr>
      </w:pPr>
    </w:p>
    <w:p w14:paraId="5CE3EF1C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2F58EBE6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contraditório e a ampla defesa em nosso ordenamento jurídico, são direitos consagrados como cláusula pétrea, disposta no art. 5º, LV da Constituição Federal, que diz:</w:t>
      </w:r>
    </w:p>
    <w:p w14:paraId="015EB186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8CD026D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5BE2D189" w14:textId="5AA85760" w:rsidR="00515E1C" w:rsidRDefault="00000000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Art. 5º Todos são iguais perante a lei, sem distinção de qualquer natureza, garantindo-se aos brasileiros e aos estrangeiros residentes no País a inviolabilidade do direito à vida, à liberdade, à igualdade, à segurança e à propriedade, nos termos seguintes:</w:t>
      </w:r>
    </w:p>
    <w:p w14:paraId="278D541E" w14:textId="77777777" w:rsidR="00515E1C" w:rsidRDefault="00000000">
      <w:pPr>
        <w:spacing w:line="240" w:lineRule="auto"/>
        <w:ind w:left="2268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</w:rPr>
        <w:t>[...]</w:t>
      </w:r>
    </w:p>
    <w:p w14:paraId="73E0CEDF" w14:textId="77777777" w:rsidR="00515E1C" w:rsidRDefault="00000000">
      <w:pPr>
        <w:spacing w:line="240" w:lineRule="auto"/>
        <w:ind w:left="226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 xml:space="preserve">LV - </w:t>
      </w:r>
      <w:proofErr w:type="gramStart"/>
      <w:r>
        <w:rPr>
          <w:rFonts w:ascii="Calibri" w:eastAsia="Calibri" w:hAnsi="Calibri" w:cs="Calibri"/>
          <w:b/>
          <w:i/>
          <w:u w:val="single"/>
        </w:rPr>
        <w:t>aos</w:t>
      </w:r>
      <w:proofErr w:type="gramEnd"/>
      <w:r>
        <w:rPr>
          <w:rFonts w:ascii="Calibri" w:eastAsia="Calibri" w:hAnsi="Calibri" w:cs="Calibri"/>
          <w:b/>
          <w:i/>
          <w:u w:val="single"/>
        </w:rPr>
        <w:t xml:space="preserve"> litigantes, em processo judicial ou administrativo, e aos acusados em geral são assegurados o contraditório e ampla defesa, com os meios e recursos a ela inerentes;</w:t>
      </w:r>
    </w:p>
    <w:p w14:paraId="126D4843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579E093" w14:textId="77777777" w:rsidR="00515E1C" w:rsidRDefault="00515E1C">
      <w:pPr>
        <w:spacing w:line="240" w:lineRule="auto"/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FA91DA7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Segundo nos ensina Maria Sylvia Zanella Di Pietro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1"/>
      </w:r>
      <w:r>
        <w:rPr>
          <w:rFonts w:ascii="Calibri" w:eastAsia="Calibri" w:hAnsi="Calibri" w:cs="Calibri"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O princípio do contraditório, que é inerente ao direito de defesa, é decorrente da bilateralidade do processo: quando uma das partes alega alguma coisa, há de ser ouvida também a outra, </w:t>
      </w:r>
      <w:proofErr w:type="spellStart"/>
      <w:r>
        <w:rPr>
          <w:rFonts w:ascii="Calibri" w:eastAsia="Calibri" w:hAnsi="Calibri" w:cs="Calibri"/>
          <w:i/>
          <w:sz w:val="24"/>
          <w:szCs w:val="24"/>
        </w:rPr>
        <w:t>dando-se-lhe</w:t>
      </w:r>
      <w:proofErr w:type="spellEnd"/>
      <w:r>
        <w:rPr>
          <w:rFonts w:ascii="Calibri" w:eastAsia="Calibri" w:hAnsi="Calibri" w:cs="Calibri"/>
          <w:i/>
          <w:sz w:val="24"/>
          <w:szCs w:val="24"/>
        </w:rPr>
        <w:t xml:space="preserve"> oportunidade de resposta. Ele supõe o conhecimento dos atos processuais pelo acusado e o seu direito de resposta ou de reação. Exige: 1- notificação dos atos processuais à parte interessada; 2- possibilidade de exame das provas constantes do processo; 3- direito de assistir à inquirição de testemunhas; 4- direito de apresentar defesa escrita.</w:t>
      </w:r>
    </w:p>
    <w:p w14:paraId="05E356A1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7D7F127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0EF52180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Gilmar Ferreira Mendes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  <w:vertAlign w:val="superscript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esclarece que </w:t>
      </w:r>
      <w:r>
        <w:rPr>
          <w:rFonts w:ascii="Calibri" w:eastAsia="Calibri" w:hAnsi="Calibri" w:cs="Calibri"/>
          <w:i/>
          <w:sz w:val="24"/>
          <w:szCs w:val="24"/>
        </w:rPr>
        <w:t>“o contraditório e a ampla defesa não se constituem em meras manifestações das partes em processos judiciais e administrativos, mas, e principalmente uma pretensão à tutela jurídica”.</w:t>
      </w:r>
    </w:p>
    <w:p w14:paraId="6D12E81D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095F9EB8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3458A7D3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 </w:t>
      </w:r>
      <w:proofErr w:type="gramStart"/>
      <w:r>
        <w:rPr>
          <w:rFonts w:ascii="Calibri" w:eastAsia="Calibri" w:hAnsi="Calibri" w:cs="Calibri"/>
          <w:sz w:val="24"/>
          <w:szCs w:val="24"/>
        </w:rPr>
        <w:t>continua, salientando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que </w:t>
      </w:r>
      <w:r>
        <w:rPr>
          <w:rFonts w:ascii="Calibri" w:eastAsia="Calibri" w:hAnsi="Calibri" w:cs="Calibri"/>
          <w:i/>
          <w:sz w:val="24"/>
          <w:szCs w:val="24"/>
        </w:rPr>
        <w:t xml:space="preserve">“sob a Constituição de 1988, o Supremo Tribunal Federal fixou entendimento de que </w:t>
      </w:r>
      <w:r>
        <w:rPr>
          <w:rFonts w:ascii="Calibri" w:eastAsia="Calibri" w:hAnsi="Calibri" w:cs="Calibri"/>
          <w:b/>
          <w:i/>
          <w:sz w:val="24"/>
          <w:szCs w:val="24"/>
          <w:u w:val="single"/>
        </w:rPr>
        <w:t>os princípios do contraditório e da ampla defesa são assegurados nos processos administrativos</w:t>
      </w:r>
      <w:r>
        <w:rPr>
          <w:rFonts w:ascii="Calibri" w:eastAsia="Calibri" w:hAnsi="Calibri" w:cs="Calibri"/>
          <w:i/>
          <w:sz w:val="24"/>
          <w:szCs w:val="24"/>
        </w:rPr>
        <w:t>, tanto em tema de punições disciplinares como de restrição de direitos em geral</w:t>
      </w:r>
      <w:r>
        <w:rPr>
          <w:rFonts w:ascii="Calibri" w:eastAsia="Calibri" w:hAnsi="Calibri" w:cs="Calibri"/>
          <w:i/>
          <w:sz w:val="24"/>
          <w:szCs w:val="24"/>
          <w:vertAlign w:val="superscript"/>
        </w:rPr>
        <w:footnoteReference w:id="3"/>
      </w:r>
      <w:r>
        <w:rPr>
          <w:rFonts w:ascii="Calibri" w:eastAsia="Calibri" w:hAnsi="Calibri" w:cs="Calibri"/>
          <w:i/>
          <w:sz w:val="24"/>
          <w:szCs w:val="24"/>
        </w:rPr>
        <w:t>.”</w:t>
      </w:r>
    </w:p>
    <w:p w14:paraId="482B1F38" w14:textId="70D28386" w:rsidR="00515E1C" w:rsidRDefault="00515E1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70CA3CA" w14:textId="77777777" w:rsidR="004B194A" w:rsidRDefault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95991D1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Nessa mesma vertente, caminhou o Código de Trânsito Brasileiro, ao estabelecer a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necessidade de notificar o infrator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3C3BDD09" w14:textId="77777777" w:rsidR="00515E1C" w:rsidRDefault="00515E1C">
      <w:pPr>
        <w:spacing w:line="240" w:lineRule="auto"/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5F9B8180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</w:rPr>
      </w:pPr>
    </w:p>
    <w:p w14:paraId="6BC40688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282. </w:t>
      </w:r>
      <w:r>
        <w:rPr>
          <w:rFonts w:ascii="Calibri" w:eastAsia="Calibri" w:hAnsi="Calibri" w:cs="Calibri"/>
          <w:i/>
          <w:highlight w:val="white"/>
        </w:rPr>
        <w:t xml:space="preserve">Caso a defesa prévia seja indeferida ou não seja apresentada no prazo estabelecido, será aplicada a penalidade e expedida notificação ao proprietário do veículo ou </w:t>
      </w:r>
      <w:r>
        <w:rPr>
          <w:rFonts w:ascii="Calibri" w:eastAsia="Calibri" w:hAnsi="Calibri" w:cs="Calibri"/>
          <w:b/>
          <w:i/>
          <w:highlight w:val="white"/>
          <w:u w:val="single"/>
        </w:rPr>
        <w:t>ao infrator</w:t>
      </w:r>
      <w:r>
        <w:rPr>
          <w:rFonts w:ascii="Calibri" w:eastAsia="Calibri" w:hAnsi="Calibri" w:cs="Calibri"/>
          <w:i/>
          <w:highlight w:val="white"/>
        </w:rPr>
        <w:t>, por remessa postal ou por qualquer outro meio tecnológico hábil que assegure a ciência da imposição da penalidade.</w:t>
      </w:r>
      <w:r>
        <w:rPr>
          <w:rFonts w:ascii="Calibri" w:eastAsia="Calibri" w:hAnsi="Calibri" w:cs="Calibri"/>
          <w:highlight w:val="white"/>
        </w:rPr>
        <w:t> </w:t>
      </w:r>
    </w:p>
    <w:p w14:paraId="5A3B72FC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[…]</w:t>
      </w:r>
    </w:p>
    <w:p w14:paraId="35B716D2" w14:textId="072CE069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highlight w:val="white"/>
        </w:rPr>
        <w:t xml:space="preserve">§ 4º Da notificação deverá constar a data do término do prazo </w:t>
      </w:r>
      <w:r>
        <w:rPr>
          <w:rFonts w:ascii="Calibri" w:eastAsia="Calibri" w:hAnsi="Calibri" w:cs="Calibri"/>
          <w:b/>
          <w:i/>
          <w:highlight w:val="white"/>
          <w:u w:val="single"/>
        </w:rPr>
        <w:t>para apresentação de recurso pelo responsável pela infração</w:t>
      </w:r>
      <w:r>
        <w:rPr>
          <w:rFonts w:ascii="Calibri" w:eastAsia="Calibri" w:hAnsi="Calibri" w:cs="Calibri"/>
          <w:i/>
          <w:highlight w:val="white"/>
        </w:rPr>
        <w:t>, que não será inferior a trinta dias contados da data da notificação da penalidade.</w:t>
      </w:r>
    </w:p>
    <w:p w14:paraId="4BF357FF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</w:rPr>
      </w:pPr>
    </w:p>
    <w:p w14:paraId="5183A615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4287424E" w14:textId="77777777" w:rsidR="00515E1C" w:rsidRDefault="00000000">
      <w:pPr>
        <w:spacing w:line="240" w:lineRule="auto"/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Nesse sentido, posicionou-se o Superior Tribunal de Justiça:</w:t>
      </w:r>
    </w:p>
    <w:p w14:paraId="5A077989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6BCE5662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65D4D0BB" w14:textId="77777777" w:rsidR="00515E1C" w:rsidRDefault="00000000">
      <w:pPr>
        <w:spacing w:line="240" w:lineRule="auto"/>
        <w:ind w:left="2268"/>
        <w:jc w:val="both"/>
        <w:rPr>
          <w:rFonts w:ascii="Calibri" w:eastAsia="Calibri" w:hAnsi="Calibri" w:cs="Calibri"/>
          <w:i/>
          <w:sz w:val="24"/>
          <w:szCs w:val="24"/>
        </w:rPr>
      </w:pPr>
      <w:hyperlink r:id="rId7" w:anchor="TIT1TEMA0">
        <w:r>
          <w:rPr>
            <w:rFonts w:ascii="Calibri" w:eastAsia="Calibri" w:hAnsi="Calibri" w:cs="Calibri"/>
            <w:i/>
            <w:sz w:val="24"/>
            <w:szCs w:val="24"/>
          </w:rPr>
          <w:t xml:space="preserve">Súmula 312 - No processo administrativo para imposição de multa de trânsito, são </w:t>
        </w:r>
      </w:hyperlink>
      <w:hyperlink r:id="rId8" w:anchor="TIT1TEMA0">
        <w:r>
          <w:rPr>
            <w:rFonts w:ascii="Calibri" w:eastAsia="Calibri" w:hAnsi="Calibri" w:cs="Calibri"/>
            <w:b/>
            <w:i/>
            <w:sz w:val="24"/>
            <w:szCs w:val="24"/>
            <w:highlight w:val="yellow"/>
            <w:u w:val="single"/>
          </w:rPr>
          <w:t>necessárias as notificações da autuação e da aplicação da pena decorrente da infração</w:t>
        </w:r>
      </w:hyperlink>
      <w:hyperlink r:id="rId9" w:anchor="TIT1TEMA0">
        <w:r>
          <w:rPr>
            <w:rFonts w:ascii="Calibri" w:eastAsia="Calibri" w:hAnsi="Calibri" w:cs="Calibri"/>
            <w:b/>
            <w:i/>
            <w:sz w:val="24"/>
            <w:szCs w:val="24"/>
            <w:u w:val="single"/>
          </w:rPr>
          <w:t xml:space="preserve">. </w:t>
        </w:r>
      </w:hyperlink>
      <w:hyperlink r:id="rId10" w:anchor="TIT1TEMA0">
        <w:r>
          <w:rPr>
            <w:rFonts w:ascii="Calibri" w:eastAsia="Calibri" w:hAnsi="Calibri" w:cs="Calibri"/>
            <w:i/>
            <w:sz w:val="24"/>
            <w:szCs w:val="24"/>
          </w:rPr>
          <w:t>(Súmula 312, PRIMEIRA SEÇÃO, julgado em 11/05/2005, DJ 23/05/2005 p. 371)</w:t>
        </w:r>
      </w:hyperlink>
    </w:p>
    <w:p w14:paraId="30587BC3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4D90BBE9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4485ABD7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64D58872" w14:textId="0DC776D3" w:rsidR="00515E1C" w:rsidRDefault="00000000" w:rsidP="004B194A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CONTRAN, regulamentando a matéria, também observou o direito de ampla defesa na Resolução </w:t>
      </w:r>
      <w:r w:rsidR="004B194A">
        <w:rPr>
          <w:rFonts w:ascii="Calibri" w:eastAsia="Calibri" w:hAnsi="Calibri" w:cs="Calibri"/>
          <w:sz w:val="24"/>
          <w:szCs w:val="24"/>
        </w:rPr>
        <w:t>918, ve</w:t>
      </w:r>
      <w:r>
        <w:rPr>
          <w:rFonts w:ascii="Calibri" w:eastAsia="Calibri" w:hAnsi="Calibri" w:cs="Calibri"/>
          <w:sz w:val="24"/>
          <w:szCs w:val="24"/>
        </w:rPr>
        <w:t>jamos:</w:t>
      </w:r>
    </w:p>
    <w:p w14:paraId="6EE07CF1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526093C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F3D1AFE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4º Com exceção do disposto no § 5º do art. 3º, após a verificação da regularidade e da consistência do AIT, </w:t>
      </w:r>
      <w:r>
        <w:rPr>
          <w:rFonts w:ascii="Calibri" w:eastAsia="Calibri" w:hAnsi="Calibri" w:cs="Calibri"/>
          <w:b/>
          <w:i/>
          <w:u w:val="single"/>
        </w:rPr>
        <w:t>o órgão autuador expedirá, no prazo máximo de 30 (trinta) dias contados da data do cometimento da infração</w:t>
      </w:r>
      <w:r>
        <w:rPr>
          <w:rFonts w:ascii="Calibri" w:eastAsia="Calibri" w:hAnsi="Calibri" w:cs="Calibri"/>
          <w:i/>
        </w:rPr>
        <w:t>, a NA dirigida ao proprietário do veículo, na qual deverão constar os dados mínimos definidos no art. 280 do CTB.</w:t>
      </w:r>
    </w:p>
    <w:p w14:paraId="36412DBC" w14:textId="77777777" w:rsidR="00515E1C" w:rsidRDefault="00515E1C">
      <w:pPr>
        <w:shd w:val="clear" w:color="auto" w:fill="FFFFFF"/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D844642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§ 1º </w:t>
      </w:r>
      <w:r>
        <w:rPr>
          <w:rFonts w:ascii="Calibri" w:eastAsia="Calibri" w:hAnsi="Calibri" w:cs="Calibri"/>
          <w:b/>
          <w:i/>
          <w:u w:val="single"/>
        </w:rPr>
        <w:t>A não expedição da NA no prazo</w:t>
      </w:r>
      <w:r>
        <w:rPr>
          <w:rFonts w:ascii="Calibri" w:eastAsia="Calibri" w:hAnsi="Calibri" w:cs="Calibri"/>
          <w:i/>
        </w:rPr>
        <w:t xml:space="preserve"> previsto no caput ensejará o </w:t>
      </w:r>
      <w:r>
        <w:rPr>
          <w:rFonts w:ascii="Calibri" w:eastAsia="Calibri" w:hAnsi="Calibri" w:cs="Calibri"/>
          <w:b/>
          <w:i/>
          <w:u w:val="single"/>
        </w:rPr>
        <w:t>arquivamento do AIT</w:t>
      </w:r>
      <w:r>
        <w:rPr>
          <w:rFonts w:ascii="Calibri" w:eastAsia="Calibri" w:hAnsi="Calibri" w:cs="Calibri"/>
          <w:i/>
        </w:rPr>
        <w:t>.</w:t>
      </w:r>
    </w:p>
    <w:p w14:paraId="56883E52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43CBC2CE" w14:textId="77777777" w:rsidR="00515E1C" w:rsidRDefault="00000000">
      <w:pPr>
        <w:spacing w:line="240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i/>
        </w:rPr>
        <w:t xml:space="preserve">§ 5º </w:t>
      </w:r>
      <w:r>
        <w:rPr>
          <w:rFonts w:ascii="Calibri" w:eastAsia="Calibri" w:hAnsi="Calibri" w:cs="Calibri"/>
          <w:b/>
          <w:i/>
          <w:u w:val="single"/>
        </w:rPr>
        <w:t>O AIT valerá como NA quando for assinado pelo condutor e este for o proprietário do veículo</w:t>
      </w:r>
      <w:r>
        <w:rPr>
          <w:rFonts w:ascii="Calibri" w:eastAsia="Calibri" w:hAnsi="Calibri" w:cs="Calibri"/>
          <w:i/>
        </w:rPr>
        <w:t xml:space="preserve"> ou o principal condutor previamente identificado, </w:t>
      </w:r>
      <w:r>
        <w:rPr>
          <w:rFonts w:ascii="Calibri" w:eastAsia="Calibri" w:hAnsi="Calibri" w:cs="Calibri"/>
          <w:b/>
          <w:i/>
          <w:u w:val="single"/>
        </w:rPr>
        <w:t>desde que conste a data do término do prazo para a apresentação da defesa da autuação</w:t>
      </w:r>
      <w:r>
        <w:rPr>
          <w:rFonts w:ascii="Calibri" w:eastAsia="Calibri" w:hAnsi="Calibri" w:cs="Calibri"/>
          <w:i/>
        </w:rPr>
        <w:t>, nos termos do art. 281-A do CTB.</w:t>
      </w:r>
    </w:p>
    <w:p w14:paraId="7AFD2BB4" w14:textId="77777777" w:rsidR="00515E1C" w:rsidRDefault="00515E1C">
      <w:pPr>
        <w:spacing w:line="240" w:lineRule="auto"/>
        <w:ind w:firstLine="2552"/>
        <w:jc w:val="center"/>
        <w:rPr>
          <w:rFonts w:ascii="Calibri" w:eastAsia="Calibri" w:hAnsi="Calibri" w:cs="Calibri"/>
          <w:sz w:val="24"/>
          <w:szCs w:val="24"/>
        </w:rPr>
      </w:pPr>
    </w:p>
    <w:p w14:paraId="5D82948C" w14:textId="77777777" w:rsidR="00515E1C" w:rsidRDefault="00000000">
      <w:pPr>
        <w:spacing w:line="240" w:lineRule="auto"/>
        <w:ind w:firstLine="25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***</w:t>
      </w:r>
    </w:p>
    <w:p w14:paraId="758997F2" w14:textId="77777777" w:rsidR="00515E1C" w:rsidRDefault="00515E1C">
      <w:pPr>
        <w:spacing w:line="240" w:lineRule="auto"/>
        <w:ind w:left="2268"/>
        <w:jc w:val="both"/>
        <w:rPr>
          <w:rFonts w:ascii="Calibri" w:eastAsia="Calibri" w:hAnsi="Calibri" w:cs="Calibri"/>
          <w:sz w:val="24"/>
          <w:szCs w:val="24"/>
        </w:rPr>
      </w:pPr>
    </w:p>
    <w:p w14:paraId="3A971DFE" w14:textId="77777777" w:rsidR="00515E1C" w:rsidRDefault="00000000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18. Somente depois de esgotados os recursos de que tratam os </w:t>
      </w:r>
      <w:proofErr w:type="spellStart"/>
      <w:r>
        <w:rPr>
          <w:rFonts w:ascii="Calibri" w:eastAsia="Calibri" w:hAnsi="Calibri" w:cs="Calibri"/>
          <w:i/>
        </w:rPr>
        <w:t>arts</w:t>
      </w:r>
      <w:proofErr w:type="spellEnd"/>
      <w:r>
        <w:rPr>
          <w:rFonts w:ascii="Calibri" w:eastAsia="Calibri" w:hAnsi="Calibri" w:cs="Calibri"/>
          <w:i/>
        </w:rPr>
        <w:t>. 15 e 16, as penalidades aplicadas poderão ser cadastradas no RENACH.</w:t>
      </w:r>
    </w:p>
    <w:p w14:paraId="52667582" w14:textId="77777777" w:rsidR="00515E1C" w:rsidRDefault="00515E1C">
      <w:pPr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3FB6ED12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67B19424" w14:textId="77777777" w:rsidR="00515E1C" w:rsidRDefault="00000000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Por fim, vale destacar o teor do artigo 2º da Resolução 900</w:t>
      </w:r>
      <w:r>
        <w:rPr>
          <w:rFonts w:ascii="Calibri" w:eastAsia="Calibri" w:hAnsi="Calibri" w:cs="Calibri"/>
          <w:b/>
          <w:sz w:val="24"/>
          <w:szCs w:val="24"/>
          <w:u w:val="single"/>
          <w:vertAlign w:val="superscript"/>
        </w:rPr>
        <w:footnoteReference w:id="4"/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 do CONTRAN:</w:t>
      </w:r>
    </w:p>
    <w:p w14:paraId="228D29A8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1C83E02F" w14:textId="77777777" w:rsidR="00515E1C" w:rsidRDefault="00515E1C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</w:p>
    <w:p w14:paraId="0A3C2FDD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2º </w:t>
      </w:r>
      <w:r>
        <w:rPr>
          <w:rFonts w:ascii="Calibri" w:eastAsia="Calibri" w:hAnsi="Calibri" w:cs="Calibri"/>
          <w:b/>
          <w:i/>
          <w:u w:val="single"/>
        </w:rPr>
        <w:t>É parte legítima para apresentar defesa prévia ou recurso em 1ª e 2ª instâncias</w:t>
      </w:r>
      <w:r>
        <w:rPr>
          <w:rFonts w:ascii="Calibri" w:eastAsia="Calibri" w:hAnsi="Calibri" w:cs="Calibri"/>
          <w:i/>
        </w:rPr>
        <w:t xml:space="preserve"> contra a imposição de penalidade de advertência por escrito ou </w:t>
      </w:r>
      <w:r>
        <w:rPr>
          <w:rFonts w:ascii="Calibri" w:eastAsia="Calibri" w:hAnsi="Calibri" w:cs="Calibri"/>
          <w:b/>
          <w:i/>
          <w:u w:val="single"/>
        </w:rPr>
        <w:t>de multa</w:t>
      </w:r>
      <w:r>
        <w:rPr>
          <w:rFonts w:ascii="Calibri" w:eastAsia="Calibri" w:hAnsi="Calibri" w:cs="Calibri"/>
          <w:i/>
        </w:rPr>
        <w:t>:</w:t>
      </w:r>
    </w:p>
    <w:p w14:paraId="4204DB05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4F532F53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II - </w:t>
      </w:r>
      <w:proofErr w:type="gramStart"/>
      <w:r>
        <w:rPr>
          <w:rFonts w:ascii="Calibri" w:eastAsia="Calibri" w:hAnsi="Calibri" w:cs="Calibri"/>
          <w:b/>
          <w:i/>
          <w:highlight w:val="yellow"/>
          <w:u w:val="single"/>
        </w:rPr>
        <w:t>o</w:t>
      </w:r>
      <w:proofErr w:type="gramEnd"/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 condutor, devidamente identificado</w:t>
      </w:r>
      <w:r>
        <w:rPr>
          <w:rFonts w:ascii="Calibri" w:eastAsia="Calibri" w:hAnsi="Calibri" w:cs="Calibri"/>
          <w:b/>
          <w:i/>
          <w:highlight w:val="yellow"/>
        </w:rPr>
        <w:t>;</w:t>
      </w:r>
    </w:p>
    <w:p w14:paraId="454B5B31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76F6510C" w14:textId="36149740" w:rsidR="00515E1C" w:rsidRDefault="00515E1C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16D1607E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Por fim, importante trazermos aos autos a redação dos </w:t>
      </w:r>
      <w:proofErr w:type="spellStart"/>
      <w:r>
        <w:rPr>
          <w:rFonts w:ascii="Calibri" w:eastAsia="Calibri" w:hAnsi="Calibri" w:cs="Calibri"/>
          <w:sz w:val="24"/>
          <w:szCs w:val="24"/>
        </w:rPr>
        <w:t>arts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9º e 28 da Lei nº 9.784/99, a qual </w:t>
      </w:r>
      <w:r>
        <w:rPr>
          <w:rFonts w:ascii="Calibri" w:eastAsia="Calibri" w:hAnsi="Calibri" w:cs="Calibri"/>
          <w:i/>
          <w:sz w:val="24"/>
          <w:szCs w:val="24"/>
        </w:rPr>
        <w:t xml:space="preserve">“regula o processo administrativo no âmbito da Administração Pública Federal”: </w:t>
      </w:r>
    </w:p>
    <w:tbl>
      <w:tblPr>
        <w:tblStyle w:val="a"/>
        <w:tblW w:w="2190" w:type="dxa"/>
        <w:tblInd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</w:tblGrid>
      <w:tr w:rsidR="004B194A" w14:paraId="43AA0D28" w14:textId="77777777" w:rsidTr="006837C6">
        <w:trPr>
          <w:trHeight w:val="437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735F" w14:textId="77777777" w:rsidR="004B194A" w:rsidRDefault="004B194A" w:rsidP="006837C6">
            <w:pPr>
              <w:widowControl w:val="0"/>
              <w:rPr>
                <w:color w:val="800000"/>
                <w:sz w:val="24"/>
                <w:szCs w:val="24"/>
              </w:rPr>
            </w:pPr>
          </w:p>
        </w:tc>
      </w:tr>
    </w:tbl>
    <w:p w14:paraId="6DC784EE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i/>
        </w:rPr>
        <w:t xml:space="preserve">Art. 9º. </w:t>
      </w:r>
      <w:r>
        <w:rPr>
          <w:rFonts w:ascii="Calibri" w:eastAsia="Calibri" w:hAnsi="Calibri" w:cs="Calibri"/>
          <w:b/>
          <w:i/>
          <w:u w:val="single"/>
        </w:rPr>
        <w:t>São legitimados como interessados no processo administrativo:</w:t>
      </w:r>
    </w:p>
    <w:p w14:paraId="1A4390A7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2D11299D" w14:textId="01FCA2E8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i/>
        </w:rPr>
        <w:t>II -</w:t>
      </w:r>
      <w:r>
        <w:rPr>
          <w:rFonts w:ascii="Calibri" w:eastAsia="Calibri" w:hAnsi="Calibri" w:cs="Calibri"/>
          <w:b/>
          <w:i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i/>
          <w:u w:val="single"/>
        </w:rPr>
        <w:t>aqueles</w:t>
      </w:r>
      <w:proofErr w:type="gramEnd"/>
      <w:r>
        <w:rPr>
          <w:rFonts w:ascii="Calibri" w:eastAsia="Calibri" w:hAnsi="Calibri" w:cs="Calibri"/>
          <w:b/>
          <w:i/>
          <w:u w:val="single"/>
        </w:rPr>
        <w:t xml:space="preserve"> que, sem terem iniciado o processo, têm direitos ou interesses que </w:t>
      </w:r>
      <w:r>
        <w:rPr>
          <w:rFonts w:ascii="Calibri" w:eastAsia="Calibri" w:hAnsi="Calibri" w:cs="Calibri"/>
          <w:b/>
          <w:i/>
          <w:highlight w:val="yellow"/>
          <w:u w:val="single"/>
        </w:rPr>
        <w:t>possam ser afetados pela decisão a ser adotada</w:t>
      </w:r>
      <w:r>
        <w:rPr>
          <w:rFonts w:ascii="Calibri" w:eastAsia="Calibri" w:hAnsi="Calibri" w:cs="Calibri"/>
          <w:b/>
          <w:i/>
          <w:u w:val="single"/>
        </w:rPr>
        <w:t>;</w:t>
      </w:r>
    </w:p>
    <w:p w14:paraId="067648CD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</w:p>
    <w:p w14:paraId="02D38F02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921EB7D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553D0E2" w14:textId="77777777" w:rsidR="004B194A" w:rsidRDefault="004B194A" w:rsidP="004B194A">
      <w:pPr>
        <w:ind w:left="311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</w:rPr>
        <w:t xml:space="preserve">Art. 28.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Devem </w:t>
      </w:r>
      <w:r>
        <w:rPr>
          <w:rFonts w:ascii="Calibri" w:eastAsia="Calibri" w:hAnsi="Calibri" w:cs="Calibri"/>
          <w:b/>
          <w:i/>
          <w:u w:val="single"/>
        </w:rPr>
        <w:t xml:space="preserve">ser objeto de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intimação </w:t>
      </w:r>
      <w:r>
        <w:rPr>
          <w:rFonts w:ascii="Calibri" w:eastAsia="Calibri" w:hAnsi="Calibri" w:cs="Calibri"/>
          <w:b/>
          <w:i/>
          <w:u w:val="single"/>
        </w:rPr>
        <w:t xml:space="preserve">os atos do processo que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resultem </w:t>
      </w:r>
      <w:r>
        <w:rPr>
          <w:rFonts w:ascii="Calibri" w:eastAsia="Calibri" w:hAnsi="Calibri" w:cs="Calibri"/>
          <w:b/>
          <w:i/>
          <w:u w:val="single"/>
        </w:rPr>
        <w:t>para o interessado em imposição</w:t>
      </w:r>
      <w:r>
        <w:rPr>
          <w:rFonts w:ascii="Calibri" w:eastAsia="Calibri" w:hAnsi="Calibri" w:cs="Calibri"/>
          <w:i/>
        </w:rPr>
        <w:t xml:space="preserve"> de deveres, ônus, </w:t>
      </w:r>
      <w:r>
        <w:rPr>
          <w:rFonts w:ascii="Calibri" w:eastAsia="Calibri" w:hAnsi="Calibri" w:cs="Calibri"/>
          <w:b/>
          <w:i/>
          <w:highlight w:val="yellow"/>
          <w:u w:val="single"/>
        </w:rPr>
        <w:t>sanções ou restrição ao exercício de direitos</w:t>
      </w:r>
      <w:r>
        <w:rPr>
          <w:rFonts w:ascii="Calibri" w:eastAsia="Calibri" w:hAnsi="Calibri" w:cs="Calibri"/>
          <w:i/>
        </w:rPr>
        <w:t xml:space="preserve"> e atividades e os atos de outra natureza, de seu interesse.</w:t>
      </w:r>
    </w:p>
    <w:p w14:paraId="2B8160F5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D717318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4591C43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artigo utilizado para penalizar o Autor prevê como penalidade, além da multa de R$ 2.934,70,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a suspensão do direito de dirigir por 12 meses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99E0731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E8695E8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5C31941C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Assim sendo, é evidente que o Requerente, ora condutor </w:t>
      </w:r>
      <w:proofErr w:type="gramStart"/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abordado,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 nos</w:t>
      </w:r>
      <w:proofErr w:type="gramEnd"/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 termos do art. 9º da Lei nº 9.784/99, pode ser afetado pela decisão proferida durante o processo de imposição da penalidade de multa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, de modo que ele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DEVERIA ter sido INTIMADO para apresentar recursos. </w:t>
      </w:r>
    </w:p>
    <w:p w14:paraId="750BE42A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643D11F9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15E75AE5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Outrossim, é evidente que a penalidade que a ele pode vir </w:t>
      </w:r>
      <w:proofErr w:type="gramStart"/>
      <w:r>
        <w:rPr>
          <w:rFonts w:ascii="Calibri" w:eastAsia="Calibri" w:hAnsi="Calibri" w:cs="Calibri"/>
          <w:sz w:val="24"/>
          <w:szCs w:val="24"/>
        </w:rPr>
        <w:t>a  ser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aplicada (suspensão do direito de dirigir) se trata de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>“sanções ou restrição ao exercício de direito”</w:t>
      </w:r>
      <w:r>
        <w:rPr>
          <w:rFonts w:ascii="Calibri" w:eastAsia="Calibri" w:hAnsi="Calibri" w:cs="Calibri"/>
          <w:sz w:val="24"/>
          <w:szCs w:val="24"/>
        </w:rPr>
        <w:t xml:space="preserve">, como prevê o art. 28 da supramencionada Lei,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de modo que ele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DEVERIA ter sido INTIMADO para apresentar recursos. </w:t>
      </w:r>
    </w:p>
    <w:p w14:paraId="6796CA12" w14:textId="77777777" w:rsidR="004B194A" w:rsidRDefault="004B194A" w:rsidP="004B194A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1ED30E4D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21D859D2" w14:textId="29DF8B1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Resta evidente, pois, que o direito de defesa do Autor foi cerceado, </w:t>
      </w:r>
      <w:r>
        <w:rPr>
          <w:rFonts w:ascii="Calibri" w:eastAsia="Calibri" w:hAnsi="Calibri" w:cs="Calibri"/>
          <w:sz w:val="24"/>
          <w:szCs w:val="24"/>
        </w:rPr>
        <w:t>além de haver clara afronta ao disposto na Súmula 312 do STJ e normas jurídicas, inclusive constitucionais citadas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1A747BA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  <w:highlight w:val="yellow"/>
          <w:u w:val="single"/>
        </w:rPr>
      </w:pPr>
    </w:p>
    <w:p w14:paraId="4EFB3948" w14:textId="03FA8976" w:rsidR="004B194A" w:rsidRDefault="004B194A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629028ED" w14:textId="0C009F34" w:rsidR="00515E1C" w:rsidRDefault="004B194A">
      <w:pPr>
        <w:ind w:firstLine="2834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highlight w:val="yellow"/>
        </w:rPr>
        <w:t>Ademais, n</w:t>
      </w:r>
      <w:r w:rsidR="00000000">
        <w:rPr>
          <w:rFonts w:ascii="Calibri" w:eastAsia="Calibri" w:hAnsi="Calibri" w:cs="Calibri"/>
          <w:b/>
          <w:sz w:val="28"/>
          <w:szCs w:val="28"/>
          <w:highlight w:val="yellow"/>
        </w:rPr>
        <w:t xml:space="preserve">as linhas da legislação de trânsito citada, </w:t>
      </w:r>
      <w:r w:rsidR="00000000">
        <w:rPr>
          <w:rFonts w:ascii="Calibri" w:eastAsia="Calibri" w:hAnsi="Calibri" w:cs="Calibri"/>
          <w:b/>
          <w:color w:val="FF0000"/>
          <w:sz w:val="28"/>
          <w:szCs w:val="28"/>
          <w:highlight w:val="yellow"/>
          <w:u w:val="single"/>
        </w:rPr>
        <w:t>NÃO</w:t>
      </w:r>
      <w:r w:rsidR="00000000">
        <w:rPr>
          <w:rFonts w:ascii="Calibri" w:eastAsia="Calibri" w:hAnsi="Calibri" w:cs="Calibri"/>
          <w:b/>
          <w:color w:val="FF0000"/>
          <w:sz w:val="28"/>
          <w:szCs w:val="28"/>
          <w:highlight w:val="yellow"/>
        </w:rPr>
        <w:t xml:space="preserve"> </w:t>
      </w:r>
      <w:r w:rsidR="00000000">
        <w:rPr>
          <w:rFonts w:ascii="Calibri" w:eastAsia="Calibri" w:hAnsi="Calibri" w:cs="Calibri"/>
          <w:b/>
          <w:sz w:val="28"/>
          <w:szCs w:val="28"/>
          <w:highlight w:val="yellow"/>
        </w:rPr>
        <w:t>é possível extrair que apenas o proprietário do veículo tem o direito ao exercício da ampla defesa e do contraditório.</w:t>
      </w:r>
    </w:p>
    <w:p w14:paraId="4F7EF7C5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54F41B14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33BFB84A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Pelo contrário, resta evidente que o direito de ampla defesa se aplica </w:t>
      </w:r>
      <w:r>
        <w:rPr>
          <w:rFonts w:ascii="Calibri" w:eastAsia="Calibri" w:hAnsi="Calibri" w:cs="Calibri"/>
          <w:b/>
          <w:sz w:val="28"/>
          <w:szCs w:val="28"/>
          <w:highlight w:val="yellow"/>
          <w:u w:val="single"/>
        </w:rPr>
        <w:t>ao CONDUTOR nas infrações de sua responsabilidade</w:t>
      </w:r>
      <w:r>
        <w:rPr>
          <w:rFonts w:ascii="Calibri" w:eastAsia="Calibri" w:hAnsi="Calibri" w:cs="Calibri"/>
          <w:sz w:val="24"/>
          <w:szCs w:val="24"/>
        </w:rPr>
        <w:t>, pois em seu RENACH – Registro Nacional de Condutores Habilitados, são cadastradas as penalidades.</w:t>
      </w:r>
    </w:p>
    <w:p w14:paraId="5D0DC98B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74F9D174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EE547ED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 porque, o Código de Trânsito Brasileiro instituiu a divisão de responsabilidades, em seu artigo 257:</w:t>
      </w:r>
    </w:p>
    <w:p w14:paraId="2D052172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8E0DDCB" w14:textId="77777777" w:rsidR="00515E1C" w:rsidRDefault="00515E1C">
      <w:pPr>
        <w:spacing w:line="240" w:lineRule="auto"/>
        <w:ind w:left="1134"/>
        <w:jc w:val="both"/>
        <w:rPr>
          <w:rFonts w:ascii="Calibri" w:eastAsia="Calibri" w:hAnsi="Calibri" w:cs="Calibri"/>
          <w:i/>
        </w:rPr>
      </w:pPr>
    </w:p>
    <w:p w14:paraId="25A9843F" w14:textId="77777777" w:rsidR="00515E1C" w:rsidRDefault="00000000">
      <w:pPr>
        <w:spacing w:line="240" w:lineRule="auto"/>
        <w:ind w:left="2835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Art. 257. As penalidades serão impostas ao condutor, ao proprietário do veículo, ao embarcador e ao transportador, salvo os casos de descumprimento de obrigações e deveres impostos a pessoas físicas ou jurídicas expressamente mencionados neste Código.</w:t>
      </w:r>
    </w:p>
    <w:p w14:paraId="73433402" w14:textId="77777777" w:rsidR="00515E1C" w:rsidRDefault="00000000">
      <w:pPr>
        <w:spacing w:line="240" w:lineRule="auto"/>
        <w:ind w:left="2835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§ 3º Ao condutor caberá a responsabilidade pelas infrações decorrentes de atos praticados na direção do veículo.</w:t>
      </w:r>
    </w:p>
    <w:p w14:paraId="742F29BC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5060F89F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32ED82F" w14:textId="77777777" w:rsidR="00515E1C" w:rsidRDefault="00000000">
      <w:pPr>
        <w:ind w:firstLine="2834"/>
        <w:jc w:val="both"/>
        <w:rPr>
          <w:rFonts w:ascii="Calibri" w:eastAsia="Calibri" w:hAnsi="Calibri" w:cs="Calibri"/>
          <w:b/>
          <w:i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Segundo Arnaldo </w:t>
      </w:r>
      <w:proofErr w:type="spellStart"/>
      <w:r>
        <w:rPr>
          <w:rFonts w:ascii="Calibri" w:eastAsia="Calibri" w:hAnsi="Calibri" w:cs="Calibri"/>
          <w:sz w:val="24"/>
          <w:szCs w:val="24"/>
        </w:rPr>
        <w:t>Rizzardo</w:t>
      </w:r>
      <w:proofErr w:type="spellEnd"/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5"/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i/>
          <w:sz w:val="24"/>
          <w:szCs w:val="24"/>
          <w:u w:val="single"/>
        </w:rPr>
        <w:t xml:space="preserve">“sendo ele que pratica a infração e não se apresentando algum vestígio de solidariedade do proprietário, é obvio que deverá arcar com as sanções provenientes das infrações”. </w:t>
      </w:r>
    </w:p>
    <w:p w14:paraId="2728568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518CF9A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85319E5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Vale dizer que </w:t>
      </w:r>
      <w:r>
        <w:rPr>
          <w:rFonts w:ascii="Calibri" w:eastAsia="Calibri" w:hAnsi="Calibri" w:cs="Calibri"/>
          <w:b/>
          <w:sz w:val="24"/>
          <w:szCs w:val="24"/>
        </w:rPr>
        <w:t>não</w:t>
      </w:r>
      <w:r>
        <w:rPr>
          <w:rFonts w:ascii="Calibri" w:eastAsia="Calibri" w:hAnsi="Calibri" w:cs="Calibri"/>
          <w:sz w:val="24"/>
          <w:szCs w:val="24"/>
        </w:rPr>
        <w:t xml:space="preserve"> há solidariedade entre o condutor e a proprietária do veículo,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já que a infração é de responsabilidade EXCLUSIVA do condutor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lastRenderedPageBreak/>
        <w:t>infrator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 conforme prevê a Ficha referente ao artigo em discussão (165-A) do Manual Brasileiro de Fiscalização de Trânsito</w:t>
      </w:r>
      <w:r>
        <w:rPr>
          <w:rFonts w:ascii="Calibri" w:eastAsia="Calibri" w:hAnsi="Calibri" w:cs="Calibri"/>
          <w:sz w:val="24"/>
          <w:szCs w:val="24"/>
        </w:rPr>
        <w:t>. Vejamos:</w:t>
      </w:r>
    </w:p>
    <w:p w14:paraId="17153AF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482CD6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490D9A97" w14:textId="77777777" w:rsidR="00515E1C" w:rsidRDefault="00000000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D6C21D2" wp14:editId="285A4829">
            <wp:extent cx="5671185" cy="29730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73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06DF8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8"/>
          <w:szCs w:val="28"/>
        </w:rPr>
      </w:pPr>
    </w:p>
    <w:p w14:paraId="07B79824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8"/>
          <w:szCs w:val="28"/>
        </w:rPr>
      </w:pPr>
    </w:p>
    <w:p w14:paraId="295456C6" w14:textId="5CBA02CE" w:rsidR="00515E1C" w:rsidRDefault="00000000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sz w:val="28"/>
          <w:szCs w:val="28"/>
        </w:rPr>
        <w:t xml:space="preserve">Ou seja, em infrações nas quais o Código de Trânsito Brasileiro atribuiu a </w:t>
      </w:r>
      <w:r>
        <w:rPr>
          <w:rFonts w:ascii="Calibri" w:eastAsia="Calibri" w:hAnsi="Calibri" w:cs="Calibri"/>
          <w:b/>
          <w:sz w:val="28"/>
          <w:szCs w:val="28"/>
        </w:rPr>
        <w:t xml:space="preserve">responsabilidade exclusiva ao condutor – como no caso em questão </w:t>
      </w:r>
      <w:proofErr w:type="gramStart"/>
      <w:r>
        <w:rPr>
          <w:rFonts w:ascii="Calibri" w:eastAsia="Calibri" w:hAnsi="Calibri" w:cs="Calibri"/>
          <w:b/>
          <w:sz w:val="28"/>
          <w:szCs w:val="28"/>
        </w:rPr>
        <w:t>-  torna</w:t>
      </w:r>
      <w:proofErr w:type="gramEnd"/>
      <w:r>
        <w:rPr>
          <w:rFonts w:ascii="Calibri" w:eastAsia="Calibri" w:hAnsi="Calibri" w:cs="Calibri"/>
          <w:b/>
          <w:sz w:val="28"/>
          <w:szCs w:val="28"/>
        </w:rPr>
        <w:t>-se ele o único legitimado ao exercício da ampla defesa e do contraditório</w:t>
      </w:r>
      <w:r>
        <w:rPr>
          <w:rFonts w:ascii="Calibri" w:eastAsia="Calibri" w:hAnsi="Calibri" w:cs="Calibri"/>
          <w:sz w:val="28"/>
          <w:szCs w:val="28"/>
        </w:rPr>
        <w:t xml:space="preserve">, devendo, 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>obrigatoriamente, a ele serem encaminhadas as notificações.</w:t>
      </w:r>
    </w:p>
    <w:p w14:paraId="670A83FB" w14:textId="19762AA6" w:rsidR="007320E0" w:rsidRDefault="007320E0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654EDC72" w14:textId="77777777" w:rsidR="007320E0" w:rsidRDefault="007320E0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2391BE87" w14:textId="77777777" w:rsidR="00515E1C" w:rsidRDefault="00000000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Nessa senda, resta evidente que no caso em apreço, o artigo utilizado para penalizar o Requerente (art. 165-A, CTB) trata de responsabilidade exclusiva do condutor. Tanto o é, que nesses casos, é impossível que seja feita a indicação de condutor infrator, uma vez que esse foi devidamente identificado no momento da abordagem, razão pela qual as notificações deveriam ter sido enviadas a ele, quem de fato suportará as penalidades dela decorrentes! </w:t>
      </w:r>
    </w:p>
    <w:p w14:paraId="2946F74B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2289BF35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19790842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Logo, as notificações deveriam ter sido enviadas ao CONDUTOR INFRATOR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possibilitando-lhe o conhecimento dos prazos para apresentar recursos à JARI e ao CETRAN,</w:t>
      </w:r>
      <w:r>
        <w:rPr>
          <w:rFonts w:ascii="Calibri" w:eastAsia="Calibri" w:hAnsi="Calibri" w:cs="Calibri"/>
          <w:sz w:val="24"/>
          <w:szCs w:val="24"/>
        </w:rPr>
        <w:t xml:space="preserve"> lhe oportunizando o exercício da ampla defesa e do </w:t>
      </w:r>
      <w:r>
        <w:rPr>
          <w:rFonts w:ascii="Calibri" w:eastAsia="Calibri" w:hAnsi="Calibri" w:cs="Calibri"/>
          <w:sz w:val="24"/>
          <w:szCs w:val="24"/>
        </w:rPr>
        <w:lastRenderedPageBreak/>
        <w:t>contraditório</w:t>
      </w:r>
      <w:r>
        <w:rPr>
          <w:rFonts w:ascii="Calibri" w:eastAsia="Calibri" w:hAnsi="Calibri" w:cs="Calibri"/>
          <w:sz w:val="28"/>
          <w:szCs w:val="28"/>
        </w:rPr>
        <w:t xml:space="preserve">, </w:t>
      </w:r>
      <w:r>
        <w:rPr>
          <w:rFonts w:ascii="Calibri" w:eastAsia="Calibri" w:hAnsi="Calibri" w:cs="Calibri"/>
          <w:sz w:val="28"/>
          <w:szCs w:val="28"/>
          <w:u w:val="single"/>
        </w:rPr>
        <w:t>não bastando a dupla notificação do proprietário, já que este não era legítimo para interpor recurso contra a penalidade</w:t>
      </w:r>
      <w:r>
        <w:rPr>
          <w:rFonts w:ascii="Calibri" w:eastAsia="Calibri" w:hAnsi="Calibri" w:cs="Calibri"/>
          <w:sz w:val="28"/>
          <w:szCs w:val="28"/>
        </w:rPr>
        <w:t xml:space="preserve">. </w:t>
      </w:r>
    </w:p>
    <w:p w14:paraId="533E81B3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200292EF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1DCBABAD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Vale destacar que o processo administrativo de trânsito prevê 03 oportunidades de defesa: defesa prévia, recurso à JARI e recurso ao CETRAN. </w:t>
      </w:r>
    </w:p>
    <w:p w14:paraId="2985BEF3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0AFB4579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64A4FA96" w14:textId="1D6BFFD2" w:rsidR="00515E1C" w:rsidRDefault="00000000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Como foi abordado, o Autor apresentou a primeira oportunidade de defesa (chamada de defesa prévia ou defesa da autuação) e requereu que fosse notificado a respeito de seu julgamento e consequente abertura do prazo para apresentação do recurso à JARI (próxima oportunidade de defesa), </w:t>
      </w:r>
      <w:r>
        <w:rPr>
          <w:rFonts w:ascii="Calibri" w:eastAsia="Calibri" w:hAnsi="Calibri" w:cs="Calibri"/>
          <w:b/>
          <w:sz w:val="24"/>
          <w:szCs w:val="24"/>
        </w:rPr>
        <w:t xml:space="preserve">o que, todavia, NÃO ACONTECEU: </w:t>
      </w:r>
    </w:p>
    <w:p w14:paraId="282E3F36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13BB19E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A19BA50" w14:textId="77777777" w:rsidR="00515E1C" w:rsidRDefault="00000000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2A8F22B0" wp14:editId="503292F4">
            <wp:extent cx="5182553" cy="293532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2553" cy="2935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D6695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5251B9A" w14:textId="77777777" w:rsidR="00515E1C" w:rsidRDefault="00000000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Nesse diapasão, o Requerente não foi notificado sobre o indeferimento de sua defesa prévia e, diante disso, não lhe foi oportunizado o direito de apresentar recurso contra tal indeferimento (Recurso à JARI), em clara afronta aos princípios do contraditório e ampla defesa. </w:t>
      </w:r>
    </w:p>
    <w:p w14:paraId="7BA0A2A2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5C8C09D3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D900ABF" w14:textId="10405B0A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 diante da afronta ao direito da ampla defesa e do contraditório, deve ser anulado TODO O PROCESSO ADMINISTRATIVO do AIT n° </w:t>
      </w:r>
      <w:r w:rsidR="004B194A">
        <w:rPr>
          <w:rFonts w:ascii="Calibri" w:eastAsia="Calibri" w:hAnsi="Calibri" w:cs="Calibri"/>
          <w:sz w:val="24"/>
          <w:szCs w:val="24"/>
        </w:rPr>
        <w:t>XXXXXXXXXX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lastRenderedPageBreak/>
        <w:t>desde seu nascedouro com a lavratura do auto de infração até as penalidades decorrentes, pois o vício de um se estende aos demais.</w:t>
      </w:r>
    </w:p>
    <w:p w14:paraId="09F91443" w14:textId="77777777" w:rsidR="00515E1C" w:rsidRDefault="00515E1C">
      <w:pPr>
        <w:shd w:val="clear" w:color="auto" w:fill="FFFFFF"/>
        <w:ind w:left="-567" w:firstLine="3401"/>
        <w:jc w:val="both"/>
        <w:rPr>
          <w:rFonts w:ascii="Calibri" w:eastAsia="Calibri" w:hAnsi="Calibri" w:cs="Calibri"/>
          <w:sz w:val="24"/>
          <w:szCs w:val="24"/>
        </w:rPr>
      </w:pPr>
    </w:p>
    <w:p w14:paraId="338AFDC5" w14:textId="77777777" w:rsidR="00515E1C" w:rsidRDefault="00515E1C">
      <w:pPr>
        <w:shd w:val="clear" w:color="auto" w:fill="FFFFFF"/>
        <w:ind w:left="-567" w:firstLine="3401"/>
        <w:jc w:val="both"/>
        <w:rPr>
          <w:rFonts w:ascii="Calibri" w:eastAsia="Calibri" w:hAnsi="Calibri" w:cs="Calibri"/>
          <w:sz w:val="24"/>
          <w:szCs w:val="24"/>
        </w:rPr>
      </w:pPr>
    </w:p>
    <w:p w14:paraId="76364794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Vale frisar que também há violação à forma do ato administrativo, isso porque, para Alexandrino e Paulo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6"/>
      </w:r>
      <w:r>
        <w:rPr>
          <w:rFonts w:ascii="Calibri" w:eastAsia="Calibri" w:hAnsi="Calibri" w:cs="Calibri"/>
          <w:sz w:val="24"/>
          <w:szCs w:val="24"/>
        </w:rPr>
        <w:t xml:space="preserve"> a forma é o modo de exteriorização do ato administrativo, vejamos:</w:t>
      </w:r>
    </w:p>
    <w:p w14:paraId="1B64F0E1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A79A1D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7415345" w14:textId="77777777" w:rsidR="00515E1C" w:rsidRDefault="00000000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Quando a lei não exigir forma determinada para os autos administrativos, cabe à administração adotar aquele que considere mais adequado, conforme seus critérios de conveniência e oportunidade administrativa; a liberdade da administração é, entretanto, estreita, por que a forma adotada deve proporcionar </w:t>
      </w:r>
      <w:r>
        <w:rPr>
          <w:rFonts w:ascii="Calibri" w:eastAsia="Calibri" w:hAnsi="Calibri" w:cs="Calibri"/>
          <w:b/>
          <w:i/>
          <w:u w:val="single"/>
        </w:rPr>
        <w:t>segurança jurídica</w:t>
      </w:r>
      <w:r>
        <w:rPr>
          <w:rFonts w:ascii="Calibri" w:eastAsia="Calibri" w:hAnsi="Calibri" w:cs="Calibri"/>
          <w:i/>
        </w:rPr>
        <w:t xml:space="preserve"> e, se se tratar de atos restritivos de direitos ou sancionatórios, deve possibilitar que os administrados exerçam plenamente o contraditório e a ampla defesa; diferentemente, sempre que a lei expressamente exigir determinada forma para a validade do ato, a inobservância acarretará a sua nulidade. </w:t>
      </w:r>
      <w:r>
        <w:rPr>
          <w:rFonts w:ascii="Calibri" w:eastAsia="Calibri" w:hAnsi="Calibri" w:cs="Calibri"/>
        </w:rPr>
        <w:t>(grifo nosso)</w:t>
      </w:r>
    </w:p>
    <w:p w14:paraId="20246C70" w14:textId="77777777" w:rsidR="00515E1C" w:rsidRDefault="00515E1C">
      <w:pPr>
        <w:shd w:val="clear" w:color="auto" w:fill="FFFFFF"/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060CD98" w14:textId="77777777" w:rsidR="00515E1C" w:rsidRDefault="00515E1C">
      <w:pPr>
        <w:shd w:val="clear" w:color="auto" w:fill="FFFFFF"/>
        <w:spacing w:line="240" w:lineRule="auto"/>
        <w:ind w:left="-284" w:firstLine="2836"/>
        <w:jc w:val="both"/>
        <w:rPr>
          <w:rFonts w:ascii="Calibri" w:eastAsia="Calibri" w:hAnsi="Calibri" w:cs="Calibri"/>
          <w:sz w:val="24"/>
          <w:szCs w:val="24"/>
        </w:rPr>
      </w:pPr>
    </w:p>
    <w:p w14:paraId="0CBC0FF2" w14:textId="77777777" w:rsidR="00515E1C" w:rsidRDefault="00515E1C">
      <w:pPr>
        <w:shd w:val="clear" w:color="auto" w:fill="FFFFFF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5BC7495" w14:textId="77777777" w:rsidR="00515E1C" w:rsidRDefault="00000000">
      <w:pPr>
        <w:shd w:val="clear" w:color="auto" w:fill="FFFFFF"/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Assim, se há violação na forma e/ou essa não traz segurança jurídica, DEVERÁ todo o ato ser anulado.</w:t>
      </w:r>
    </w:p>
    <w:p w14:paraId="49D13E69" w14:textId="77777777" w:rsidR="00515E1C" w:rsidRDefault="00515E1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B542A84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66F00B21" w14:textId="77777777" w:rsidR="00515E1C" w:rsidRDefault="00000000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JURISPRUDÊNCIA – “O texto da lei </w:t>
      </w:r>
      <w:r>
        <w:rPr>
          <w:rFonts w:ascii="Calibri" w:eastAsia="Calibri" w:hAnsi="Calibri" w:cs="Calibri"/>
          <w:b/>
          <w:sz w:val="24"/>
          <w:szCs w:val="24"/>
        </w:rPr>
        <w:t>não contém palavras sem importância nem prevê procedimentos desnecessários.</w:t>
      </w:r>
      <w:r>
        <w:rPr>
          <w:rFonts w:ascii="Calibri" w:eastAsia="Calibri" w:hAnsi="Calibri" w:cs="Calibri"/>
          <w:sz w:val="24"/>
          <w:szCs w:val="24"/>
        </w:rPr>
        <w:t>” (Min. José Delgado –Ap. Cível Nº 1.0000.00.305977-1/000 – TJMG.)</w:t>
      </w:r>
    </w:p>
    <w:p w14:paraId="21E7D086" w14:textId="77777777" w:rsidR="00515E1C" w:rsidRDefault="00515E1C">
      <w:pPr>
        <w:shd w:val="clear" w:color="auto" w:fill="FFFFFF"/>
        <w:ind w:left="-284" w:firstLine="3118"/>
        <w:jc w:val="both"/>
        <w:rPr>
          <w:rFonts w:ascii="Calibri" w:eastAsia="Calibri" w:hAnsi="Calibri" w:cs="Calibri"/>
          <w:sz w:val="24"/>
          <w:szCs w:val="24"/>
        </w:rPr>
      </w:pPr>
    </w:p>
    <w:p w14:paraId="55376EDC" w14:textId="77777777" w:rsidR="00515E1C" w:rsidRDefault="00515E1C">
      <w:pPr>
        <w:shd w:val="clear" w:color="auto" w:fill="FFFFFF"/>
        <w:ind w:left="-284" w:firstLine="3118"/>
        <w:jc w:val="both"/>
        <w:rPr>
          <w:rFonts w:ascii="Calibri" w:eastAsia="Calibri" w:hAnsi="Calibri" w:cs="Calibri"/>
          <w:sz w:val="24"/>
          <w:szCs w:val="24"/>
        </w:rPr>
      </w:pPr>
    </w:p>
    <w:p w14:paraId="2D8DA127" w14:textId="0FF145EF" w:rsidR="00515E1C" w:rsidRDefault="00000000" w:rsidP="004B194A">
      <w:pPr>
        <w:shd w:val="clear" w:color="auto" w:fill="FFFFFF"/>
        <w:ind w:firstLine="2834"/>
        <w:jc w:val="both"/>
      </w:pPr>
      <w:r>
        <w:rPr>
          <w:rFonts w:ascii="Calibri" w:eastAsia="Calibri" w:hAnsi="Calibri" w:cs="Calibri"/>
          <w:sz w:val="24"/>
          <w:szCs w:val="24"/>
        </w:rPr>
        <w:t>Inquestionavelmente, portanto, que a defesa do Requerente, como demonstrado, restou cerceada.</w:t>
      </w:r>
    </w:p>
    <w:sectPr w:rsidR="00515E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9EB3E" w14:textId="77777777" w:rsidR="00CA59E1" w:rsidRDefault="00CA59E1">
      <w:pPr>
        <w:spacing w:line="240" w:lineRule="auto"/>
      </w:pPr>
      <w:r>
        <w:separator/>
      </w:r>
    </w:p>
  </w:endnote>
  <w:endnote w:type="continuationSeparator" w:id="0">
    <w:p w14:paraId="6D21E87E" w14:textId="77777777" w:rsidR="00CA59E1" w:rsidRDefault="00CA5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9D376" w14:textId="77777777" w:rsidR="00CA59E1" w:rsidRDefault="00CA59E1">
      <w:pPr>
        <w:spacing w:line="240" w:lineRule="auto"/>
      </w:pPr>
      <w:r>
        <w:separator/>
      </w:r>
    </w:p>
  </w:footnote>
  <w:footnote w:type="continuationSeparator" w:id="0">
    <w:p w14:paraId="08CB48D4" w14:textId="77777777" w:rsidR="00CA59E1" w:rsidRDefault="00CA59E1">
      <w:pPr>
        <w:spacing w:line="240" w:lineRule="auto"/>
      </w:pPr>
      <w:r>
        <w:continuationSeparator/>
      </w:r>
    </w:p>
  </w:footnote>
  <w:footnote w:id="1">
    <w:p w14:paraId="139AF978" w14:textId="77777777" w:rsidR="00515E1C" w:rsidRDefault="00000000">
      <w:pPr>
        <w:spacing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i/>
          <w:sz w:val="20"/>
          <w:szCs w:val="20"/>
        </w:rPr>
        <w:t xml:space="preserve"> DI PIETRO, Maria Sylvia Zanella, </w:t>
      </w:r>
      <w:r>
        <w:rPr>
          <w:rFonts w:ascii="Calibri" w:eastAsia="Calibri" w:hAnsi="Calibri" w:cs="Calibri"/>
          <w:b/>
          <w:i/>
          <w:sz w:val="20"/>
          <w:szCs w:val="20"/>
        </w:rPr>
        <w:t>Direito Administrativo</w:t>
      </w:r>
      <w:r>
        <w:rPr>
          <w:rFonts w:ascii="Calibri" w:eastAsia="Calibri" w:hAnsi="Calibri" w:cs="Calibri"/>
          <w:i/>
          <w:sz w:val="20"/>
          <w:szCs w:val="20"/>
        </w:rPr>
        <w:t>, 20ª edição, São Paulo, Atlas, 2007, p. 367.</w:t>
      </w:r>
    </w:p>
  </w:footnote>
  <w:footnote w:id="2">
    <w:p w14:paraId="3B61257E" w14:textId="77777777" w:rsidR="00515E1C" w:rsidRDefault="00000000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20"/>
          <w:szCs w:val="20"/>
        </w:rPr>
        <w:t xml:space="preserve"> Mendes, Gilmar Ferreira, </w:t>
      </w:r>
      <w:r>
        <w:rPr>
          <w:rFonts w:ascii="Calibri" w:eastAsia="Calibri" w:hAnsi="Calibri" w:cs="Calibri"/>
          <w:b/>
          <w:sz w:val="20"/>
          <w:szCs w:val="20"/>
        </w:rPr>
        <w:t>Curso de direito constitucional</w:t>
      </w:r>
      <w:r>
        <w:rPr>
          <w:rFonts w:ascii="Calibri" w:eastAsia="Calibri" w:hAnsi="Calibri" w:cs="Calibri"/>
          <w:sz w:val="20"/>
          <w:szCs w:val="20"/>
        </w:rPr>
        <w:t xml:space="preserve">,4ª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ed</w:t>
      </w:r>
      <w:proofErr w:type="spellEnd"/>
      <w:r>
        <w:rPr>
          <w:rFonts w:ascii="Calibri" w:eastAsia="Calibri" w:hAnsi="Calibri" w:cs="Calibri"/>
          <w:sz w:val="20"/>
          <w:szCs w:val="20"/>
        </w:rPr>
        <w:t>.,São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Paulo,Saraiva</w:t>
      </w:r>
      <w:proofErr w:type="spellEnd"/>
      <w:r>
        <w:rPr>
          <w:rFonts w:ascii="Calibri" w:eastAsia="Calibri" w:hAnsi="Calibri" w:cs="Calibri"/>
          <w:sz w:val="20"/>
          <w:szCs w:val="20"/>
        </w:rPr>
        <w:t>, 2009, p.592</w:t>
      </w:r>
    </w:p>
  </w:footnote>
  <w:footnote w:id="3">
    <w:p w14:paraId="18E835C2" w14:textId="77777777" w:rsidR="00515E1C" w:rsidRDefault="00000000">
      <w:pPr>
        <w:spacing w:line="240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Op. Cit</w:t>
      </w:r>
      <w:r>
        <w:rPr>
          <w:rFonts w:ascii="Calibri" w:eastAsia="Calibri" w:hAnsi="Calibri" w:cs="Calibri"/>
          <w:sz w:val="20"/>
          <w:szCs w:val="20"/>
        </w:rPr>
        <w:t>., p. 602</w:t>
      </w:r>
    </w:p>
  </w:footnote>
  <w:footnote w:id="4">
    <w:p w14:paraId="1F6304EE" w14:textId="77777777" w:rsidR="00515E1C" w:rsidRDefault="00000000">
      <w:pPr>
        <w:spacing w:line="24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hyperlink r:id="rId1">
        <w:r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https://www.in.gov.br/en/web/dou/-/resolucao-contran-n-900-de-9-de-marco-de-2022-386472154</w:t>
        </w:r>
      </w:hyperlink>
      <w:r>
        <w:rPr>
          <w:rFonts w:ascii="Book Antiqua" w:eastAsia="Book Antiqua" w:hAnsi="Book Antiqua" w:cs="Book Antiqua"/>
          <w:sz w:val="16"/>
          <w:szCs w:val="16"/>
        </w:rPr>
        <w:t xml:space="preserve"> </w:t>
      </w:r>
    </w:p>
  </w:footnote>
  <w:footnote w:id="5">
    <w:p w14:paraId="34C0F3CE" w14:textId="77777777" w:rsidR="00515E1C" w:rsidRDefault="00000000">
      <w:pPr>
        <w:spacing w:line="240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16"/>
          <w:szCs w:val="16"/>
        </w:rPr>
        <w:t xml:space="preserve"> RIZZARDO, Arnaldo. </w:t>
      </w:r>
      <w:r>
        <w:rPr>
          <w:rFonts w:ascii="Calibri" w:eastAsia="Calibri" w:hAnsi="Calibri" w:cs="Calibri"/>
          <w:b/>
          <w:sz w:val="16"/>
          <w:szCs w:val="16"/>
        </w:rPr>
        <w:t>Comentários ao código de trânsito brasileiro.</w:t>
      </w:r>
      <w:r>
        <w:rPr>
          <w:rFonts w:ascii="Calibri" w:eastAsia="Calibri" w:hAnsi="Calibri" w:cs="Calibri"/>
          <w:sz w:val="16"/>
          <w:szCs w:val="16"/>
        </w:rPr>
        <w:t xml:space="preserve"> 8.ed. São Paulo: Revista dos Tribunais, 2010</w:t>
      </w:r>
      <w:r>
        <w:rPr>
          <w:rFonts w:ascii="Calibri" w:eastAsia="Calibri" w:hAnsi="Calibri" w:cs="Calibri"/>
          <w:i/>
          <w:sz w:val="16"/>
          <w:szCs w:val="16"/>
        </w:rPr>
        <w:t xml:space="preserve">, </w:t>
      </w:r>
      <w:r>
        <w:rPr>
          <w:rFonts w:ascii="Calibri" w:eastAsia="Calibri" w:hAnsi="Calibri" w:cs="Calibri"/>
          <w:sz w:val="16"/>
          <w:szCs w:val="16"/>
        </w:rPr>
        <w:t>p. 508.</w:t>
      </w:r>
    </w:p>
  </w:footnote>
  <w:footnote w:id="6">
    <w:p w14:paraId="6955FB67" w14:textId="77777777" w:rsidR="00515E1C" w:rsidRDefault="00000000">
      <w:pPr>
        <w:spacing w:line="240" w:lineRule="auto"/>
        <w:jc w:val="both"/>
        <w:rPr>
          <w:rFonts w:ascii="Book Antiqua" w:eastAsia="Book Antiqua" w:hAnsi="Book Antiqua" w:cs="Book Antiqua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18"/>
          <w:szCs w:val="18"/>
        </w:rPr>
        <w:t>ALEXANDRINO, Marcelo; PAULO, Vicente. Direito Administrativo Descomplicado. 20. Ed. São Paulo; Método, 2012, p. 461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F41DA"/>
    <w:multiLevelType w:val="multilevel"/>
    <w:tmpl w:val="1BEC8108"/>
    <w:lvl w:ilvl="0">
      <w:start w:val="1"/>
      <w:numFmt w:val="lowerLetter"/>
      <w:lvlText w:val="%1)"/>
      <w:lvlJc w:val="left"/>
      <w:pPr>
        <w:ind w:left="3195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3915" w:hanging="360"/>
      </w:pPr>
    </w:lvl>
    <w:lvl w:ilvl="2">
      <w:start w:val="1"/>
      <w:numFmt w:val="lowerRoman"/>
      <w:lvlText w:val="%3."/>
      <w:lvlJc w:val="right"/>
      <w:pPr>
        <w:ind w:left="4635" w:hanging="180"/>
      </w:pPr>
    </w:lvl>
    <w:lvl w:ilvl="3">
      <w:start w:val="1"/>
      <w:numFmt w:val="decimal"/>
      <w:lvlText w:val="%4."/>
      <w:lvlJc w:val="left"/>
      <w:pPr>
        <w:ind w:left="5355" w:hanging="360"/>
      </w:pPr>
    </w:lvl>
    <w:lvl w:ilvl="4">
      <w:start w:val="1"/>
      <w:numFmt w:val="lowerLetter"/>
      <w:lvlText w:val="%5."/>
      <w:lvlJc w:val="left"/>
      <w:pPr>
        <w:ind w:left="6075" w:hanging="360"/>
      </w:pPr>
    </w:lvl>
    <w:lvl w:ilvl="5">
      <w:start w:val="1"/>
      <w:numFmt w:val="lowerRoman"/>
      <w:lvlText w:val="%6."/>
      <w:lvlJc w:val="right"/>
      <w:pPr>
        <w:ind w:left="6795" w:hanging="180"/>
      </w:pPr>
    </w:lvl>
    <w:lvl w:ilvl="6">
      <w:start w:val="1"/>
      <w:numFmt w:val="decimal"/>
      <w:lvlText w:val="%7."/>
      <w:lvlJc w:val="left"/>
      <w:pPr>
        <w:ind w:left="7515" w:hanging="360"/>
      </w:pPr>
    </w:lvl>
    <w:lvl w:ilvl="7">
      <w:start w:val="1"/>
      <w:numFmt w:val="lowerLetter"/>
      <w:lvlText w:val="%8."/>
      <w:lvlJc w:val="left"/>
      <w:pPr>
        <w:ind w:left="8235" w:hanging="360"/>
      </w:pPr>
    </w:lvl>
    <w:lvl w:ilvl="8">
      <w:start w:val="1"/>
      <w:numFmt w:val="lowerRoman"/>
      <w:lvlText w:val="%9."/>
      <w:lvlJc w:val="right"/>
      <w:pPr>
        <w:ind w:left="8955" w:hanging="180"/>
      </w:pPr>
    </w:lvl>
  </w:abstractNum>
  <w:num w:numId="1" w16cid:durableId="158382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E1C"/>
    <w:rsid w:val="004B194A"/>
    <w:rsid w:val="00515E1C"/>
    <w:rsid w:val="00637D1F"/>
    <w:rsid w:val="007320E0"/>
    <w:rsid w:val="00746724"/>
    <w:rsid w:val="00CA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866C"/>
  <w15:docId w15:val="{DC1B1F84-D7F5-4347-9A44-A601D771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j.jus.br/SCON/sumanot/toc.j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j.jus.br/SCON/sumanot/toc.jsp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stj.jus.br/SCON/sumanot/toc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j.jus.br/SCON/sumanot/toc.jsp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n.gov.br/en/web/dou/-/resolucao-contran-n-900-de-9-de-marco-de-2022-386472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1640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 Avallone</cp:lastModifiedBy>
  <cp:revision>4</cp:revision>
  <dcterms:created xsi:type="dcterms:W3CDTF">2023-03-01T17:20:00Z</dcterms:created>
  <dcterms:modified xsi:type="dcterms:W3CDTF">2023-03-01T17:45:00Z</dcterms:modified>
</cp:coreProperties>
</file>