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862E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Ao Diretor do DETRAN/SP</w:t>
      </w:r>
    </w:p>
    <w:p w14:paraId="42CA5985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7777777" w:rsidR="009F2720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Referente ao AIT ou PA nº XXXXXX/XXXX</w:t>
      </w:r>
    </w:p>
    <w:p w14:paraId="0D3DD05B" w14:textId="476208A7" w:rsidR="009F2720" w:rsidRPr="00300D0A" w:rsidRDefault="00827EBF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Recurso </w:t>
      </w:r>
      <w:r w:rsidR="008606B1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em 2ª Instância | Recurso ao CETRAN | Recurso ao CONTRANDIFE</w:t>
      </w:r>
    </w:p>
    <w:p w14:paraId="176EEED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F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ulano, estado civil, profissão, RG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CPF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residente e domiciliado à rua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ve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, neste ato representado por seu procurador, nos termos da procuração em anexo e com fundamento nos artigos 280 e seguintes do CTB, além das Resoluções 723/918 e 900 do CONTRAN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5EC90073" w14:textId="37109B48" w:rsidR="009F2720" w:rsidRDefault="008606B1" w:rsidP="008606B1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Recurso em 2ª Instância</w:t>
      </w:r>
    </w:p>
    <w:p w14:paraId="1321F998" w14:textId="77777777" w:rsidR="008606B1" w:rsidRPr="00300D0A" w:rsidRDefault="008606B1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7D4EB945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AIT/PA supramencionado, apresentando, nesta oportunidade, os fatos e fundamentos que embasam as razões pelas quais este AIT/PA deve ser anulado e arquivado.</w:t>
      </w:r>
    </w:p>
    <w:p w14:paraId="50267617" w14:textId="6E8D2B17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13000E3" w14:textId="664E2165" w:rsidR="008606B1" w:rsidRDefault="007819CD" w:rsidP="008606B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 xml:space="preserve">I – PRELIMINAR </w:t>
      </w:r>
      <w:r w:rsidR="008606B1" w:rsidRPr="00827EBF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DA VIOLAÇÃO AO PRINCÍPIO DA MOTIVAÇÃO NO JULGAMENTO D</w:t>
      </w:r>
      <w:r w:rsidR="008606B1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O RECURSDO EM PRIMEIRA INSTÂNCIA</w:t>
      </w:r>
    </w:p>
    <w:p w14:paraId="099EFE4D" w14:textId="77777777" w:rsidR="008606B1" w:rsidRDefault="008606B1" w:rsidP="008606B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</w:p>
    <w:p w14:paraId="338E90C9" w14:textId="52B0C477" w:rsidR="008606B1" w:rsidRPr="00827EBF" w:rsidRDefault="008606B1" w:rsidP="008606B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[desde que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tenha havido efetivamente violação ao P. da Motivação no julgamento do recurso em 1ª instância</w:t>
      </w:r>
      <w:r w:rsidRP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>]</w:t>
      </w:r>
    </w:p>
    <w:p w14:paraId="38BB1049" w14:textId="7F554D6D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</w:p>
    <w:p w14:paraId="254F1723" w14:textId="663769E3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76E610F0" w14:textId="1E994C2E" w:rsidR="007819CD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[…]</w:t>
      </w:r>
    </w:p>
    <w:p w14:paraId="4079581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35FC26" w14:textId="57FEA3F2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="007819CD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FATOS</w:t>
      </w:r>
    </w:p>
    <w:p w14:paraId="5416E65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D8F7BB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Em que pese a autuação lavrada e a penalidade mantida contra o Recorrente, é certo que, na forma dos artigos 280 e seguintes do CTB, é possível, ainda que no processo de suspensão, se discuta a legalidade da penalidade de multa, que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imput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ou 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ao Recorrente o cometimento da infração prevista no artigo 165 do CTB.</w:t>
      </w:r>
    </w:p>
    <w:p w14:paraId="5489C25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3F2746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Todavia, o auto de infração é nulo, uma vez que conforme documentos em anexo (prova 1), o recorrente não conduzia o veículo sob efeito de álcool, já que logo após a abordagem </w:t>
      </w:r>
      <w:r w:rsidRPr="004056B3">
        <w:rPr>
          <w:rFonts w:asciiTheme="minorHAnsi" w:hAnsiTheme="minorHAnsi" w:cstheme="minorHAnsi"/>
          <w:sz w:val="24"/>
          <w:szCs w:val="24"/>
          <w:u w:val="single"/>
          <w:shd w:val="clear" w:color="auto" w:fill="D3D3D3"/>
        </w:rPr>
        <w:t>realizou exame de sangue para certificar a quantidade de álcool em seu organismo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47686E9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C680C5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Este fato é comprovado pelo exame feito em laboratório no dia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às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hs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em anexo a esta defesa (prova 2).</w:t>
      </w:r>
    </w:p>
    <w:p w14:paraId="0EAD81B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156918A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certamente não há tipificação, estando por tal motivo nulo o auto de infração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e, na forma dos §§ 5º e 6º do art. 7º da Resolução 723 do CONTRAN que diz que:</w:t>
      </w:r>
    </w:p>
    <w:p w14:paraId="611A3439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552476C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§ 5º A qualquer tempo, havendo anulação judicial ou administrativa </w:t>
      </w:r>
      <w:proofErr w:type="gramStart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do autos</w:t>
      </w:r>
      <w:proofErr w:type="gramEnd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 de infração, o órgão autuador deverá efetuar nova comunicação aos órgãos de registro da habilitação, para que sejam adotadas providências quanto a processos </w:t>
      </w: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lastRenderedPageBreak/>
        <w:t>administrativos de suspensão ou cassação do direito de dirigir eventualmente instaurados com base nas autuações anuladas.</w:t>
      </w:r>
    </w:p>
    <w:p w14:paraId="008AD67A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§ 6º Configurada a hipótese do § 5º, o órgão de registro da habilitação anulará, de ofício, a penalidade eventualmente aplicada, cancelando registro no RENACH, ainda que já tenha havido o encerramento da instância administrativa.</w:t>
      </w:r>
    </w:p>
    <w:p w14:paraId="6952AA6F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361534C" w14:textId="4B187263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não há motivos para que a autuação se</w:t>
      </w:r>
      <w:r w:rsid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>j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a mantida, tampouco a consequência dela, qual seja, este processo administrativo, pelo que se requer, desse já a anulação, bem como o arquivamento.</w:t>
      </w:r>
    </w:p>
    <w:p w14:paraId="03E92F33" w14:textId="23C470A0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2216D56" w14:textId="564D61CA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Ainda é preciso dizer que houve apresentação de defesa, expondo todos os fatos aqui expostos novamente.</w:t>
      </w:r>
    </w:p>
    <w:p w14:paraId="71AD6642" w14:textId="2438F70D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86A77FA" w14:textId="3587B8F2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Ocorre que a defesa prévia NÃO teve todos os tópicos apreciados pela turma julgadora, o que fere o Princípio da Motivação.</w:t>
      </w:r>
    </w:p>
    <w:p w14:paraId="32CEFAD9" w14:textId="497A35FE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63866A3" w14:textId="20EB47C3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III - FUNDAMENTOS</w:t>
      </w:r>
    </w:p>
    <w:p w14:paraId="67C549EC" w14:textId="626DEADC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DD7EDC3" w14:textId="60C257AE" w:rsidR="008606B1" w:rsidRDefault="008606B1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[jurisprudência, doutrina, texto do CTB ou da Resolução do CONTRAN ou a Ficha do MBFT]</w:t>
      </w:r>
    </w:p>
    <w:p w14:paraId="7DF79F8B" w14:textId="77777777" w:rsidR="008606B1" w:rsidRPr="00300D0A" w:rsidRDefault="008606B1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6B1CF3C" w14:textId="4C2C39C4" w:rsidR="009F2720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IV</w:t>
      </w:r>
      <w:r w:rsidR="009F2720"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PEDIDOS</w:t>
      </w:r>
    </w:p>
    <w:p w14:paraId="3E67E4DF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32C4221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Diante do exposto, requer-se:</w:t>
      </w:r>
    </w:p>
    <w:p w14:paraId="295BC4F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9FE29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1 – O recebimento deste recurso em virtude do atendimento dos requisitos de admissibilidade, bem como das provas que o acompanham;</w:t>
      </w:r>
    </w:p>
    <w:p w14:paraId="50C490C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FF3C910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2 – Seja dado provimento ao recurso para declarar a nulidade do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PA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nº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em virtude dos fatos acima delineados, afastando assim suas consequências lógicas.</w:t>
      </w:r>
    </w:p>
    <w:p w14:paraId="6675345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proofErr w:type="spellStart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</w:t>
      </w:r>
      <w:proofErr w:type="spellEnd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Nome do Procurador</w:t>
      </w:r>
    </w:p>
    <w:p w14:paraId="731D25B5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7819CD"/>
    <w:rsid w:val="00827EBF"/>
    <w:rsid w:val="008606B1"/>
    <w:rsid w:val="009F2720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510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2</cp:revision>
  <dcterms:created xsi:type="dcterms:W3CDTF">2023-03-06T16:31:00Z</dcterms:created>
  <dcterms:modified xsi:type="dcterms:W3CDTF">2023-03-06T16:31:00Z</dcterms:modified>
</cp:coreProperties>
</file>