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207F4" w14:textId="77777777" w:rsidR="00A817EE" w:rsidRPr="00A817EE" w:rsidRDefault="00A817EE" w:rsidP="00A817E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817EE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:u w:val="single"/>
          <w:lang w:eastAsia="pt-BR"/>
          <w14:ligatures w14:val="none"/>
        </w:rPr>
        <w:t>PEDIDO DE DILIGÊNCIA</w:t>
      </w:r>
    </w:p>
    <w:p w14:paraId="1577E2E6" w14:textId="77777777" w:rsidR="00A817EE" w:rsidRPr="00A817EE" w:rsidRDefault="00A817EE" w:rsidP="00A81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348616E" w14:textId="77777777" w:rsidR="00A817EE" w:rsidRPr="00A817EE" w:rsidRDefault="00A817EE" w:rsidP="00A817E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817EE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 xml:space="preserve">Segundo a Portaria n° 966 de julho de 2022 da SENATRAN, os agentes que executem atividades de fiscalização devem ser aprovados no </w:t>
      </w:r>
      <w:r w:rsidRPr="00A817E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pt-BR"/>
          <w14:ligatures w14:val="none"/>
        </w:rPr>
        <w:t>Curso de Agente de Trânsito</w:t>
      </w:r>
      <w:r w:rsidRPr="00A817EE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 xml:space="preserve"> que devem ser realizados a cada 3 anos, segundo o que regulamenta a referida Portaria.</w:t>
      </w:r>
    </w:p>
    <w:p w14:paraId="7ACE848F" w14:textId="77777777" w:rsidR="00A817EE" w:rsidRPr="00A817EE" w:rsidRDefault="00A817EE" w:rsidP="00A81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FC06CB7" w14:textId="1F5351B8" w:rsidR="00A817EE" w:rsidRPr="00A817EE" w:rsidRDefault="00A817EE" w:rsidP="00A817E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817EE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 xml:space="preserve">Assim, solicita o Recorrente a este órgão, que verifique se o agente de trânsito de RE/RG nº 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>XXXXXXXXX</w:t>
      </w:r>
      <w:r w:rsidRPr="00A817EE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 xml:space="preserve">, foi </w:t>
      </w:r>
      <w:r w:rsidRPr="00A817E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pt-BR"/>
          <w14:ligatures w14:val="none"/>
        </w:rPr>
        <w:t>submetido e aprovado no curso</w:t>
      </w:r>
      <w:r w:rsidRPr="00A817EE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>, conforme previsão da Portaria nº 966 da SENATRAN.</w:t>
      </w:r>
    </w:p>
    <w:p w14:paraId="7417919A" w14:textId="77777777" w:rsidR="00A817EE" w:rsidRPr="00A817EE" w:rsidRDefault="00A817EE" w:rsidP="00A81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739BB14" w14:textId="77777777" w:rsidR="00A817EE" w:rsidRPr="00A817EE" w:rsidRDefault="00A817EE" w:rsidP="00A817E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817EE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>Tal irregularidade ofende à competência do ato administrativo, bem como ao que determina à SENATRAN desde julho do corrente ano, cabendo, inclusive, denúncia à SENATRAN eventual irregularidade.</w:t>
      </w:r>
    </w:p>
    <w:p w14:paraId="0CCACB1B" w14:textId="77777777" w:rsidR="00A817EE" w:rsidRPr="00A817EE" w:rsidRDefault="00A817EE" w:rsidP="00A81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ADE804E" w14:textId="77777777" w:rsidR="00A817EE" w:rsidRPr="00A817EE" w:rsidRDefault="00A817EE" w:rsidP="00A817E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817EE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 xml:space="preserve">Ainda sobre o pedido de diligência, que uma viatura do DER/SP se dirija até o local indicado no AIT, para </w:t>
      </w:r>
      <w:r w:rsidRPr="00A817E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pt-BR"/>
          <w14:ligatures w14:val="none"/>
        </w:rPr>
        <w:t>verificar a existência da faixa adicional</w:t>
      </w:r>
      <w:r w:rsidRPr="00A817EE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 xml:space="preserve"> e, assim, constatar que a infração ali tipificada não é conclusiva, pois gera dúvida sobre a suposta conduta realizada pelo Recorrente, ora infrator.</w:t>
      </w:r>
    </w:p>
    <w:p w14:paraId="24ED24B4" w14:textId="77777777" w:rsidR="00A817EE" w:rsidRPr="00A817EE" w:rsidRDefault="00A817EE" w:rsidP="00A81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8A5C43D" w14:textId="77777777" w:rsidR="00A817EE" w:rsidRPr="00A817EE" w:rsidRDefault="00A817EE" w:rsidP="00A817E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817EE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>Ainda, necessário se faz mencionar os artigos 28 e 30 da Lei de Introdução às Normas do Direito Brasileiro (LINDB), vejamos:</w:t>
      </w:r>
    </w:p>
    <w:p w14:paraId="4A663080" w14:textId="77777777" w:rsidR="00A817EE" w:rsidRPr="00A817EE" w:rsidRDefault="00A817EE" w:rsidP="00A81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D5F7E42" w14:textId="77777777" w:rsidR="00A817EE" w:rsidRPr="00A817EE" w:rsidRDefault="00A817EE" w:rsidP="00A817EE">
      <w:p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817EE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pt-BR"/>
          <w14:ligatures w14:val="none"/>
        </w:rPr>
        <w:t xml:space="preserve">Art. 28.  O agente público responderá pessoalmente por suas decisões ou opiniões técnicas em caso de dolo ou </w:t>
      </w:r>
      <w:r w:rsidRPr="00A817EE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0"/>
          <w:szCs w:val="20"/>
          <w:u w:val="single"/>
          <w:lang w:eastAsia="pt-BR"/>
          <w14:ligatures w14:val="none"/>
        </w:rPr>
        <w:t>erro grosseiro.</w:t>
      </w:r>
    </w:p>
    <w:p w14:paraId="637B890F" w14:textId="77777777" w:rsidR="00A817EE" w:rsidRPr="00A817EE" w:rsidRDefault="00A817EE" w:rsidP="00A817EE">
      <w:p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817EE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pt-BR"/>
          <w14:ligatures w14:val="none"/>
        </w:rPr>
        <w:t>[…]</w:t>
      </w:r>
    </w:p>
    <w:p w14:paraId="1545F18C" w14:textId="77777777" w:rsidR="00A817EE" w:rsidRPr="00A817EE" w:rsidRDefault="00A817EE" w:rsidP="00A817EE">
      <w:p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817EE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pt-BR"/>
          <w14:ligatures w14:val="none"/>
        </w:rPr>
        <w:t xml:space="preserve">Art. 30.  As autoridades públicas </w:t>
      </w:r>
      <w:r w:rsidRPr="00A817EE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0"/>
          <w:szCs w:val="20"/>
          <w:u w:val="single"/>
          <w:lang w:eastAsia="pt-BR"/>
          <w14:ligatures w14:val="none"/>
        </w:rPr>
        <w:t>devem atuar para aumentar a segurança jurídica na aplicação das normas</w:t>
      </w:r>
      <w:r w:rsidRPr="00A817EE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pt-BR"/>
          <w14:ligatures w14:val="none"/>
        </w:rPr>
        <w:t>, inclusive por meio de regulamentos, súmulas administrativas e respostas a consultas.    </w:t>
      </w:r>
    </w:p>
    <w:p w14:paraId="37504D52" w14:textId="77777777" w:rsidR="00A817EE" w:rsidRPr="00A817EE" w:rsidRDefault="00A817EE" w:rsidP="00A81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011516A" w14:textId="365C6328" w:rsidR="00EF1CDB" w:rsidRDefault="00A817EE" w:rsidP="00A817EE">
      <w:pPr>
        <w:shd w:val="clear" w:color="auto" w:fill="FFFFFF"/>
        <w:spacing w:after="0" w:line="240" w:lineRule="auto"/>
        <w:jc w:val="both"/>
      </w:pPr>
      <w:r w:rsidRPr="00A817EE">
        <w:rPr>
          <w:rFonts w:ascii="Calibri" w:eastAsia="Times New Roman" w:hAnsi="Calibri" w:cs="Calibri"/>
          <w:color w:val="000000"/>
          <w:kern w:val="0"/>
          <w:sz w:val="24"/>
          <w:szCs w:val="24"/>
          <w:lang w:eastAsia="pt-BR"/>
          <w14:ligatures w14:val="none"/>
        </w:rPr>
        <w:t xml:space="preserve">Como narrado, o AIT aqui em discussão ofende à segurança jurídica, conforme demonstrado, pelo que se requer, sob pena de responsabilidade, a nulidade do AIT n° </w:t>
      </w: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pt-BR"/>
          <w14:ligatures w14:val="none"/>
        </w:rPr>
        <w:t>XXXXXXXXXXXX.</w:t>
      </w:r>
    </w:p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EE"/>
    <w:rsid w:val="00A21E18"/>
    <w:rsid w:val="00A817EE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F05D1"/>
  <w15:chartTrackingRefBased/>
  <w15:docId w15:val="{49CD385A-8233-498A-BEE5-3C32E4ED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1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1</cp:revision>
  <dcterms:created xsi:type="dcterms:W3CDTF">2023-03-06T19:01:00Z</dcterms:created>
  <dcterms:modified xsi:type="dcterms:W3CDTF">2023-03-06T19:02:00Z</dcterms:modified>
</cp:coreProperties>
</file>