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D68F2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Ademais, em que pese a penalidade em questão, minhas alegações apresentadas na instância inferior não teve todos os argumentos apreciados por aquela turma julgadora, ferindo ao princípio da motivação.</w:t>
      </w:r>
    </w:p>
    <w:p w14:paraId="3E9FF0D8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 </w:t>
      </w:r>
    </w:p>
    <w:p w14:paraId="18E75BA6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Style w:val="Forte"/>
          <w:rFonts w:asciiTheme="minorHAnsi" w:hAnsiTheme="minorHAnsi" w:cstheme="minorHAnsi"/>
          <w:color w:val="1D1D1D"/>
          <w:sz w:val="20"/>
          <w:szCs w:val="20"/>
        </w:rPr>
        <w:t>DO PRINCÍPIO DA MOTIVAÇÃO DOS ATOS ADMINISTRATIVOS – JULGAMENTO INCOMPATÍVEL </w:t>
      </w:r>
    </w:p>
    <w:p w14:paraId="7EB3A639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</w:p>
    <w:p w14:paraId="4CFCDE61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Tendo em vista todas as irregularidades constantes na autuação e respectiva notificação, apresentei minhas alegações na instância inferior, junto ao órgão autuante, em esfera administrativa</w:t>
      </w:r>
      <w:r w:rsidRPr="00AA0007">
        <w:rPr>
          <w:rStyle w:val="nfase"/>
          <w:rFonts w:asciiTheme="minorHAnsi" w:hAnsiTheme="minorHAnsi" w:cstheme="minorHAnsi"/>
          <w:b/>
          <w:bCs/>
          <w:color w:val="1D1D1D"/>
          <w:sz w:val="20"/>
          <w:szCs w:val="20"/>
        </w:rPr>
        <w:t>.</w:t>
      </w:r>
    </w:p>
    <w:p w14:paraId="1BEC0AE1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> </w:t>
      </w:r>
    </w:p>
    <w:p w14:paraId="496A12D5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Entretanto, minha defesa foi indeferida sem qualquer fundamentação e motivação do ato.</w:t>
      </w:r>
    </w:p>
    <w:p w14:paraId="05615EF5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 </w:t>
      </w:r>
    </w:p>
    <w:p w14:paraId="03848DDC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 xml:space="preserve">Ora, o órgão julgador simplesmente </w:t>
      </w:r>
      <w:r w:rsidRPr="00AA0007">
        <w:rPr>
          <w:rStyle w:val="nfase"/>
          <w:rFonts w:asciiTheme="minorHAnsi" w:hAnsiTheme="minorHAnsi" w:cstheme="minorHAnsi"/>
          <w:b/>
          <w:bCs/>
          <w:color w:val="1D1D1D"/>
          <w:sz w:val="20"/>
          <w:szCs w:val="20"/>
          <w:u w:val="single"/>
        </w:rPr>
        <w:t>não enfrentou o tema proposto para seu julgamento</w:t>
      </w:r>
      <w:r w:rsidRPr="00AA0007">
        <w:rPr>
          <w:rFonts w:asciiTheme="minorHAnsi" w:hAnsiTheme="minorHAnsi" w:cstheme="minorHAnsi"/>
          <w:color w:val="1D1D1D"/>
          <w:sz w:val="20"/>
          <w:szCs w:val="20"/>
        </w:rPr>
        <w:t>, fato que macula a decisão proferida.</w:t>
      </w:r>
    </w:p>
    <w:p w14:paraId="0F42F4E3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 </w:t>
      </w:r>
    </w:p>
    <w:p w14:paraId="16B95247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A propósito:</w:t>
      </w:r>
    </w:p>
    <w:p w14:paraId="5E962EE7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 </w:t>
      </w:r>
    </w:p>
    <w:p w14:paraId="42924E33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 xml:space="preserve">"3. Nas infrações de trânsito, </w:t>
      </w:r>
      <w:r w:rsidRPr="00AA0007">
        <w:rPr>
          <w:rStyle w:val="nfase"/>
          <w:rFonts w:asciiTheme="minorHAnsi" w:hAnsiTheme="minorHAnsi" w:cstheme="minorHAnsi"/>
          <w:b/>
          <w:bCs/>
          <w:color w:val="1D1D1D"/>
          <w:sz w:val="20"/>
          <w:szCs w:val="20"/>
          <w:u w:val="single"/>
        </w:rPr>
        <w:t>a análise da consistência do auto de infração à luz da defesa propiciada é premissa inafastável para a aplicação da penalidade e consectário da garantia da ampla defesa assegurada no inciso LV, do artigo 5º da CF</w:t>
      </w:r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 xml:space="preserve">, como decorrência do </w:t>
      </w:r>
      <w:proofErr w:type="spellStart"/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>due</w:t>
      </w:r>
      <w:proofErr w:type="spellEnd"/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 xml:space="preserve"> </w:t>
      </w:r>
      <w:proofErr w:type="spellStart"/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>process</w:t>
      </w:r>
      <w:proofErr w:type="spellEnd"/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 xml:space="preserve"> </w:t>
      </w:r>
      <w:proofErr w:type="spellStart"/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>of</w:t>
      </w:r>
      <w:proofErr w:type="spellEnd"/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 xml:space="preserve"> </w:t>
      </w:r>
      <w:proofErr w:type="spellStart"/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>law</w:t>
      </w:r>
      <w:proofErr w:type="spellEnd"/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 xml:space="preserve"> do direito anglo-norte-americano, hoje constitucionalizado na nossa Carta Maior" (STJ, 1ª T., </w:t>
      </w:r>
      <w:proofErr w:type="spellStart"/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>REsp</w:t>
      </w:r>
      <w:proofErr w:type="spellEnd"/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 xml:space="preserve"> 490728 / RS, rel. min. Luiz Fux, j. em 03/06/2003, DJ 23.06.2003 p. 265). (grifos meu)</w:t>
      </w:r>
    </w:p>
    <w:p w14:paraId="01CEE528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 </w:t>
      </w:r>
    </w:p>
    <w:p w14:paraId="7939CED9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Trata-se de ato administrativo sancionador, decorrente de poder de polícia, no qual foi apresentado matéria fática na discussão sobre o processo administrativo instaurado contra mim, sendo indispensável que o órgão julgador se manifeste sobre as questões arguidas em sede de recurso.</w:t>
      </w:r>
    </w:p>
    <w:p w14:paraId="39C15831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</w:p>
    <w:p w14:paraId="496115DC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O dever de motivar decisões administrativas também decorrente da Lei 9.784/99. Em seu artigo 50, a referida lei elenca situações de fato e de direito que quando presentes obrigam o agente público a motivar o ato, com a indicação dos fatos e dos fundamentos jurídicos presentes. De extrema relevância a citação, in litteris, desse artigo:</w:t>
      </w:r>
    </w:p>
    <w:p w14:paraId="2C906C65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 </w:t>
      </w:r>
    </w:p>
    <w:p w14:paraId="3B9B1F81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>Art. 50. Os atos administrativos deverão ser motivados, com indicação dos fatos e dos fundamentos jurídicos, quando:</w:t>
      </w:r>
    </w:p>
    <w:p w14:paraId="49147646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 xml:space="preserve">V – </w:t>
      </w:r>
      <w:proofErr w:type="gramStart"/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>decidam</w:t>
      </w:r>
      <w:proofErr w:type="gramEnd"/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 xml:space="preserve"> recursos administrativos;</w:t>
      </w:r>
    </w:p>
    <w:p w14:paraId="310A302D" w14:textId="77777777" w:rsidR="00AA0007" w:rsidRPr="00AA0007" w:rsidRDefault="00AA0007" w:rsidP="00AA0007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>[...]</w:t>
      </w:r>
    </w:p>
    <w:p w14:paraId="6EE6F288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Style w:val="nfase"/>
          <w:rFonts w:asciiTheme="minorHAnsi" w:hAnsiTheme="minorHAnsi" w:cstheme="minorHAnsi"/>
          <w:color w:val="000000"/>
          <w:sz w:val="20"/>
          <w:szCs w:val="20"/>
        </w:rPr>
        <w:t>§ 1o A motivação deve ser explícita, clara e congruente, podendo consistir em declaração de concordância com fundamentos de anteriores pareceres, informações, decisões ou propostas, que, neste caso, serão parte integrante do ato.</w:t>
      </w:r>
    </w:p>
    <w:p w14:paraId="2CF3307C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</w:p>
    <w:p w14:paraId="0897E03D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A doutrina administrativista também corrobora comigo, no sentido de que a administração deve sempre motivar seus atos:</w:t>
      </w:r>
    </w:p>
    <w:p w14:paraId="458239CF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 </w:t>
      </w:r>
    </w:p>
    <w:p w14:paraId="2FF09623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 xml:space="preserve">"[...] implica para a Administração Pública o dever de justificar seus atos, </w:t>
      </w:r>
      <w:r w:rsidRPr="00AA0007">
        <w:rPr>
          <w:rStyle w:val="nfase"/>
          <w:rFonts w:asciiTheme="minorHAnsi" w:hAnsiTheme="minorHAnsi" w:cstheme="minorHAnsi"/>
          <w:b/>
          <w:bCs/>
          <w:color w:val="1D1D1D"/>
          <w:sz w:val="20"/>
          <w:szCs w:val="20"/>
          <w:u w:val="single"/>
        </w:rPr>
        <w:t>apontando-lhes os fundamentos de direito e de fato</w:t>
      </w:r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>, assim como a correlação lógica entre os eventos e situações que deu por existentes e a providência tomada, nos casos em que este último aclaramento seja necessário para aferir-se a consonância da conduta administrativa com a lei que lhe serviu de arrimo"(grifos meu)</w:t>
      </w:r>
    </w:p>
    <w:p w14:paraId="3BBC91AF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 </w:t>
      </w:r>
    </w:p>
    <w:p w14:paraId="4C2DBFAA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Di Pietro também menciona que:</w:t>
      </w:r>
    </w:p>
    <w:p w14:paraId="121EB57A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 </w:t>
      </w:r>
    </w:p>
    <w:p w14:paraId="3F24BF32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 xml:space="preserve">"O princípio da motivação exige que a Administração Pública indique os fundamentos </w:t>
      </w:r>
      <w:r w:rsidRPr="00AA0007">
        <w:rPr>
          <w:rStyle w:val="nfase"/>
          <w:rFonts w:asciiTheme="minorHAnsi" w:hAnsiTheme="minorHAnsi" w:cstheme="minorHAnsi"/>
          <w:b/>
          <w:bCs/>
          <w:color w:val="1D1D1D"/>
          <w:sz w:val="20"/>
          <w:szCs w:val="20"/>
          <w:u w:val="single"/>
        </w:rPr>
        <w:t>de fato e de direito de suas decisões</w:t>
      </w:r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 xml:space="preserve">. Ele está consagrado pela doutrina e pela jurisprudência, não havendo mais espaço para as velhas doutrinas que discutiam se a sua obrigatoriedade alcançava só os atos vinculados ou só os atos discricionários, ou se estava presente em ambas categorias. </w:t>
      </w:r>
      <w:r w:rsidRPr="00AA0007">
        <w:rPr>
          <w:rStyle w:val="nfase"/>
          <w:rFonts w:asciiTheme="minorHAnsi" w:hAnsiTheme="minorHAnsi" w:cstheme="minorHAnsi"/>
          <w:b/>
          <w:bCs/>
          <w:color w:val="1D1D1D"/>
          <w:sz w:val="20"/>
          <w:szCs w:val="20"/>
          <w:u w:val="single"/>
        </w:rPr>
        <w:t>A sua obrigatoriedade se justifica em qualquer tipo de ato, porque trata de formalidade necessária para permitir o controle de legalidade dos atos administrativos."</w:t>
      </w:r>
      <w:r w:rsidRPr="00AA0007">
        <w:rPr>
          <w:rFonts w:asciiTheme="minorHAnsi" w:hAnsiTheme="minorHAnsi" w:cstheme="minorHAnsi"/>
          <w:color w:val="1D1D1D"/>
          <w:sz w:val="20"/>
          <w:szCs w:val="20"/>
        </w:rPr>
        <w:t xml:space="preserve"> </w:t>
      </w:r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>(grifos meu)</w:t>
      </w:r>
    </w:p>
    <w:p w14:paraId="7FC7ABA4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lastRenderedPageBreak/>
        <w:t> </w:t>
      </w:r>
    </w:p>
    <w:p w14:paraId="2A10A18C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 xml:space="preserve">Assim, a motivação dos atos administrativos não pode ser entendida como uma mera vontade estatal, mas </w:t>
      </w:r>
      <w:r w:rsidRPr="00AA0007">
        <w:rPr>
          <w:rFonts w:asciiTheme="minorHAnsi" w:hAnsiTheme="minorHAnsi" w:cstheme="minorHAnsi"/>
          <w:color w:val="1D1D1D"/>
          <w:sz w:val="20"/>
          <w:szCs w:val="20"/>
          <w:u w:val="single"/>
        </w:rPr>
        <w:t>como uma obrigação da administração pública</w:t>
      </w:r>
      <w:r w:rsidRPr="00AA0007">
        <w:rPr>
          <w:rFonts w:asciiTheme="minorHAnsi" w:hAnsiTheme="minorHAnsi" w:cstheme="minorHAnsi"/>
          <w:color w:val="1D1D1D"/>
          <w:sz w:val="20"/>
          <w:szCs w:val="20"/>
        </w:rPr>
        <w:t>, pois se trata da participação direta do cidadão no controle desses atos, sendo causa de invalidação do processo administrativo.</w:t>
      </w:r>
    </w:p>
    <w:p w14:paraId="5B125226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 </w:t>
      </w:r>
    </w:p>
    <w:p w14:paraId="68E650EC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Nesse contexto, são nulas todas as decisões administrativas que não analisam as questões fáticas apresentadas na defesa, culminando com a respectiva invalidação dos respectivos atos decorrentes, aplicadas a mim.</w:t>
      </w:r>
    </w:p>
    <w:p w14:paraId="66BB54C2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</w:p>
    <w:p w14:paraId="3BAF8D50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Assim, válido é, NOVAMENTE, expor as questões fáticas e de direito que embasam a ANULAÇÃO da presente penalidade.</w:t>
      </w:r>
    </w:p>
    <w:p w14:paraId="39ADA8C3" w14:textId="7EDF32D1" w:rsidR="00EF1CDB" w:rsidRPr="00AA0007" w:rsidRDefault="00EF1CDB" w:rsidP="00AA0007">
      <w:pPr>
        <w:rPr>
          <w:rFonts w:cstheme="minorHAnsi"/>
        </w:rPr>
      </w:pPr>
    </w:p>
    <w:sectPr w:rsidR="00EF1CDB" w:rsidRPr="00AA00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1AA"/>
    <w:rsid w:val="00343AFD"/>
    <w:rsid w:val="0078718C"/>
    <w:rsid w:val="0091681F"/>
    <w:rsid w:val="00AA0007"/>
    <w:rsid w:val="00EF1CDB"/>
    <w:rsid w:val="00F331AA"/>
    <w:rsid w:val="00FB56BA"/>
    <w:rsid w:val="00FD2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00401"/>
  <w15:chartTrackingRefBased/>
  <w15:docId w15:val="{C63FEC1A-8B16-4B9A-A75B-627F04584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3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331AA"/>
    <w:rPr>
      <w:b/>
      <w:bCs/>
    </w:rPr>
  </w:style>
  <w:style w:type="character" w:styleId="nfase">
    <w:name w:val="Emphasis"/>
    <w:basedOn w:val="Fontepargpadro"/>
    <w:uiPriority w:val="20"/>
    <w:qFormat/>
    <w:rsid w:val="00F331AA"/>
    <w:rPr>
      <w:i/>
      <w:iCs/>
    </w:rPr>
  </w:style>
  <w:style w:type="paragraph" w:customStyle="1" w:styleId="ql-align-justify">
    <w:name w:val="ql-align-justify"/>
    <w:basedOn w:val="Normal"/>
    <w:rsid w:val="00F33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ql-indent-1">
    <w:name w:val="ql-indent-1"/>
    <w:basedOn w:val="Normal"/>
    <w:rsid w:val="00FB5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1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609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NOVO</dc:creator>
  <cp:keywords/>
  <dc:description/>
  <cp:lastModifiedBy>Erica Avallone</cp:lastModifiedBy>
  <cp:revision>4</cp:revision>
  <dcterms:created xsi:type="dcterms:W3CDTF">2022-02-11T02:06:00Z</dcterms:created>
  <dcterms:modified xsi:type="dcterms:W3CDTF">2023-03-06T16:53:00Z</dcterms:modified>
</cp:coreProperties>
</file>