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B893D" w14:textId="77777777" w:rsidR="0001344D" w:rsidRPr="0001344D" w:rsidRDefault="0001344D" w:rsidP="0001344D">
      <w:pPr>
        <w:spacing w:after="0" w:line="24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01344D">
        <w:rPr>
          <w:rFonts w:asciiTheme="minorHAnsi" w:hAnsiTheme="minorHAnsi" w:cstheme="minorHAnsi"/>
          <w:b/>
          <w:color w:val="000000"/>
          <w:sz w:val="28"/>
          <w:szCs w:val="28"/>
        </w:rPr>
        <w:t>Ato praticado com Desvio de Finalidade</w:t>
      </w:r>
    </w:p>
    <w:p w14:paraId="602CCCE3" w14:textId="77777777" w:rsidR="0001344D" w:rsidRPr="0001344D" w:rsidRDefault="0001344D" w:rsidP="0001344D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31BD17AD" w14:textId="77777777" w:rsidR="0001344D" w:rsidRPr="0001344D" w:rsidRDefault="0001344D" w:rsidP="0001344D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01344D">
        <w:rPr>
          <w:rFonts w:asciiTheme="minorHAnsi" w:hAnsiTheme="minorHAnsi" w:cstheme="minorHAnsi"/>
          <w:color w:val="000000"/>
          <w:sz w:val="24"/>
          <w:szCs w:val="24"/>
        </w:rPr>
        <w:t>Vamos usar como exemplo a medida administrativa que deve ser aplicada na multa do bafômetro.</w:t>
      </w:r>
    </w:p>
    <w:p w14:paraId="3E422150" w14:textId="77777777" w:rsidR="0001344D" w:rsidRPr="0001344D" w:rsidRDefault="0001344D" w:rsidP="0001344D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0A04CF42" w14:textId="77777777" w:rsidR="0001344D" w:rsidRPr="0001344D" w:rsidRDefault="0001344D" w:rsidP="0001344D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01344D">
        <w:rPr>
          <w:rFonts w:asciiTheme="minorHAnsi" w:hAnsiTheme="minorHAnsi" w:cstheme="minorHAnsi"/>
          <w:color w:val="000000"/>
          <w:sz w:val="24"/>
          <w:szCs w:val="24"/>
        </w:rPr>
        <w:t xml:space="preserve">Se observarmos o texto legal, a medida administrativa é a remoção do veículo ou o veículo ser liberado para condutor habilitado que </w:t>
      </w:r>
      <w:r w:rsidRPr="0001344D">
        <w:rPr>
          <w:rFonts w:asciiTheme="minorHAnsi" w:hAnsiTheme="minorHAnsi" w:cstheme="minorHAnsi"/>
          <w:b/>
          <w:color w:val="000000"/>
          <w:sz w:val="24"/>
          <w:szCs w:val="24"/>
        </w:rPr>
        <w:t>também deverá ser submetido ao teste do bafômetro</w:t>
      </w:r>
      <w:r w:rsidRPr="0001344D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758FDE9B" w14:textId="77777777" w:rsidR="0001344D" w:rsidRPr="0001344D" w:rsidRDefault="0001344D" w:rsidP="0001344D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2B5BD307" w14:textId="77777777" w:rsidR="0001344D" w:rsidRPr="0001344D" w:rsidRDefault="0001344D" w:rsidP="0001344D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01344D">
        <w:rPr>
          <w:rFonts w:asciiTheme="minorHAnsi" w:hAnsiTheme="minorHAnsi" w:cstheme="minorHAnsi"/>
          <w:color w:val="000000"/>
          <w:sz w:val="24"/>
          <w:szCs w:val="24"/>
        </w:rPr>
        <w:t>Se uma dessas condutas não é observada ou se o agente simplesmente não ANOTOU a medida administrativa adotada no auto de infração, ele deve ser anulado por vício na forma do ato, mas também porque aquele ato está sendo praticado com desvio de finalidade.</w:t>
      </w:r>
    </w:p>
    <w:p w14:paraId="7CBB6A9D" w14:textId="77777777" w:rsidR="0001344D" w:rsidRPr="0001344D" w:rsidRDefault="0001344D" w:rsidP="0001344D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3CF5F648" w14:textId="77777777" w:rsidR="0001344D" w:rsidRPr="0001344D" w:rsidRDefault="0001344D" w:rsidP="0001344D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01344D">
        <w:rPr>
          <w:rFonts w:asciiTheme="minorHAnsi" w:hAnsiTheme="minorHAnsi" w:cstheme="minorHAnsi"/>
          <w:color w:val="000000"/>
          <w:sz w:val="24"/>
          <w:szCs w:val="24"/>
        </w:rPr>
        <w:t xml:space="preserve">Veja o exemplo do </w:t>
      </w:r>
      <w:r w:rsidRPr="0001344D">
        <w:rPr>
          <w:rFonts w:asciiTheme="minorHAnsi" w:hAnsiTheme="minorHAnsi" w:cstheme="minorHAnsi"/>
          <w:b/>
          <w:color w:val="000000"/>
          <w:sz w:val="24"/>
          <w:szCs w:val="24"/>
        </w:rPr>
        <w:t>modelo</w:t>
      </w:r>
      <w:r w:rsidRPr="0001344D">
        <w:rPr>
          <w:rFonts w:asciiTheme="minorHAnsi" w:hAnsiTheme="minorHAnsi" w:cstheme="minorHAnsi"/>
          <w:color w:val="000000"/>
          <w:sz w:val="24"/>
          <w:szCs w:val="24"/>
        </w:rPr>
        <w:t>:</w:t>
      </w:r>
    </w:p>
    <w:p w14:paraId="42F5FBB4" w14:textId="77777777" w:rsidR="0001344D" w:rsidRPr="0001344D" w:rsidRDefault="0001344D" w:rsidP="0001344D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71C5F02B" w14:textId="77777777" w:rsidR="0001344D" w:rsidRPr="0001344D" w:rsidRDefault="0001344D" w:rsidP="0001344D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01344D">
        <w:rPr>
          <w:rFonts w:asciiTheme="minorHAnsi" w:hAnsiTheme="minorHAnsi" w:cstheme="minorHAnsi"/>
          <w:sz w:val="24"/>
          <w:szCs w:val="24"/>
        </w:rPr>
        <w:pict w14:anchorId="1E009B83">
          <v:rect id="_x0000_i1025" style="width:0;height:1.5pt" o:hralign="center" o:hrstd="t" o:hr="t" fillcolor="#a0a0a0" stroked="f"/>
        </w:pict>
      </w:r>
    </w:p>
    <w:p w14:paraId="519BA246" w14:textId="77777777" w:rsidR="0001344D" w:rsidRPr="0001344D" w:rsidRDefault="0001344D" w:rsidP="0001344D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5AAD2C9F" w14:textId="77777777" w:rsidR="0001344D" w:rsidRPr="0001344D" w:rsidRDefault="0001344D" w:rsidP="0001344D">
      <w:pPr>
        <w:spacing w:after="0" w:line="240" w:lineRule="auto"/>
        <w:ind w:left="720"/>
        <w:jc w:val="both"/>
        <w:rPr>
          <w:rFonts w:asciiTheme="minorHAnsi" w:hAnsiTheme="minorHAnsi" w:cstheme="minorHAnsi"/>
          <w:sz w:val="24"/>
          <w:szCs w:val="24"/>
        </w:rPr>
      </w:pPr>
      <w:r w:rsidRPr="0001344D">
        <w:rPr>
          <w:rFonts w:asciiTheme="minorHAnsi" w:hAnsiTheme="minorHAnsi" w:cstheme="minorHAnsi"/>
          <w:color w:val="000000"/>
          <w:sz w:val="24"/>
          <w:szCs w:val="24"/>
        </w:rPr>
        <w:t>(...)</w:t>
      </w:r>
    </w:p>
    <w:p w14:paraId="4095BDC2" w14:textId="77777777" w:rsidR="0001344D" w:rsidRPr="0001344D" w:rsidRDefault="0001344D" w:rsidP="0001344D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4B9D87D4" w14:textId="77777777" w:rsidR="0001344D" w:rsidRPr="0001344D" w:rsidRDefault="0001344D" w:rsidP="0001344D">
      <w:pPr>
        <w:spacing w:after="0" w:line="240" w:lineRule="auto"/>
        <w:ind w:left="720"/>
        <w:jc w:val="both"/>
        <w:rPr>
          <w:rFonts w:asciiTheme="minorHAnsi" w:hAnsiTheme="minorHAnsi" w:cstheme="minorHAnsi"/>
          <w:sz w:val="24"/>
          <w:szCs w:val="24"/>
        </w:rPr>
      </w:pPr>
      <w:r w:rsidRPr="0001344D">
        <w:rPr>
          <w:rFonts w:asciiTheme="minorHAnsi" w:hAnsiTheme="minorHAnsi" w:cstheme="minorHAnsi"/>
          <w:color w:val="000000"/>
          <w:sz w:val="24"/>
          <w:szCs w:val="24"/>
        </w:rPr>
        <w:t xml:space="preserve">Não menos importante é o fato de que a medida administrativa não foi observada. Eis que não há no AIT aqui em discussão, qualquer anotação quanto ao teste realizado no </w:t>
      </w:r>
      <w:r w:rsidRPr="0001344D"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  <w:t>condutor que supostamente retirou o veículo do local da infração, o que viola a medida administrativa prevista no art. 9° da Resolução 432 do CONTRAN.</w:t>
      </w:r>
    </w:p>
    <w:p w14:paraId="7570AD60" w14:textId="77777777" w:rsidR="0001344D" w:rsidRPr="0001344D" w:rsidRDefault="0001344D" w:rsidP="0001344D">
      <w:pPr>
        <w:spacing w:after="0" w:line="240" w:lineRule="auto"/>
        <w:ind w:left="720"/>
        <w:jc w:val="both"/>
        <w:rPr>
          <w:rFonts w:asciiTheme="minorHAnsi" w:hAnsiTheme="minorHAnsi" w:cstheme="minorHAnsi"/>
          <w:sz w:val="24"/>
          <w:szCs w:val="24"/>
        </w:rPr>
      </w:pPr>
      <w:r w:rsidRPr="0001344D">
        <w:rPr>
          <w:rFonts w:asciiTheme="minorHAnsi" w:hAnsiTheme="minorHAnsi" w:cstheme="minorHAnsi"/>
          <w:color w:val="000000"/>
          <w:sz w:val="24"/>
          <w:szCs w:val="24"/>
        </w:rPr>
        <w:t> </w:t>
      </w:r>
    </w:p>
    <w:p w14:paraId="7EB82226" w14:textId="53E31C65" w:rsidR="0001344D" w:rsidRPr="0001344D" w:rsidRDefault="0001344D" w:rsidP="0001344D">
      <w:pPr>
        <w:spacing w:after="0" w:line="240" w:lineRule="auto"/>
        <w:ind w:left="720"/>
        <w:jc w:val="both"/>
        <w:rPr>
          <w:rFonts w:asciiTheme="minorHAnsi" w:hAnsiTheme="minorHAnsi" w:cstheme="minorHAnsi"/>
          <w:sz w:val="24"/>
          <w:szCs w:val="24"/>
        </w:rPr>
      </w:pPr>
      <w:r w:rsidRPr="0001344D">
        <w:rPr>
          <w:rFonts w:asciiTheme="minorHAnsi" w:hAnsiTheme="minorHAnsi" w:cstheme="minorHAnsi"/>
          <w:color w:val="000000"/>
          <w:sz w:val="24"/>
          <w:szCs w:val="24"/>
        </w:rPr>
        <w:t xml:space="preserve">Ora, consta no AIT que o veículo foi liberado para o Sr. Fernando, </w:t>
      </w:r>
      <w:r w:rsidRPr="0001344D">
        <w:rPr>
          <w:rFonts w:asciiTheme="minorHAnsi" w:hAnsiTheme="minorHAnsi" w:cstheme="minorHAnsi"/>
          <w:b/>
          <w:color w:val="000000"/>
          <w:sz w:val="24"/>
          <w:szCs w:val="24"/>
        </w:rPr>
        <w:t>porém, em momento algum, este foi submetido ao teste do etilômetro, o que viola, como dito, o art. 9° da Resolução 432 do CONTRAN, já que o condutor habilitado, também deverá ser submetido à fiscalização.</w:t>
      </w:r>
    </w:p>
    <w:p w14:paraId="790309C2" w14:textId="77777777" w:rsidR="0001344D" w:rsidRPr="0001344D" w:rsidRDefault="0001344D" w:rsidP="0001344D">
      <w:pPr>
        <w:spacing w:after="0" w:line="240" w:lineRule="auto"/>
        <w:ind w:left="720"/>
        <w:jc w:val="both"/>
        <w:rPr>
          <w:rFonts w:asciiTheme="minorHAnsi" w:hAnsiTheme="minorHAnsi" w:cstheme="minorHAnsi"/>
          <w:sz w:val="24"/>
          <w:szCs w:val="24"/>
        </w:rPr>
      </w:pPr>
      <w:r w:rsidRPr="0001344D">
        <w:rPr>
          <w:rFonts w:asciiTheme="minorHAnsi" w:hAnsiTheme="minorHAnsi" w:cstheme="minorHAnsi"/>
          <w:color w:val="000000"/>
          <w:sz w:val="24"/>
          <w:szCs w:val="24"/>
        </w:rPr>
        <w:t> </w:t>
      </w:r>
    </w:p>
    <w:p w14:paraId="049A3E5B" w14:textId="77777777" w:rsidR="0001344D" w:rsidRPr="0001344D" w:rsidRDefault="0001344D" w:rsidP="0001344D">
      <w:pPr>
        <w:spacing w:after="0" w:line="240" w:lineRule="auto"/>
        <w:ind w:left="720"/>
        <w:jc w:val="both"/>
        <w:rPr>
          <w:rFonts w:asciiTheme="minorHAnsi" w:hAnsiTheme="minorHAnsi" w:cstheme="minorHAnsi"/>
          <w:sz w:val="24"/>
          <w:szCs w:val="24"/>
        </w:rPr>
      </w:pPr>
      <w:r w:rsidRPr="0001344D">
        <w:rPr>
          <w:rFonts w:asciiTheme="minorHAnsi" w:hAnsiTheme="minorHAnsi" w:cstheme="minorHAnsi"/>
          <w:color w:val="000000"/>
          <w:sz w:val="24"/>
          <w:szCs w:val="24"/>
        </w:rPr>
        <w:t xml:space="preserve">Medidas Administrativas constituem providências imediatas, que visam sanar a infração de trânsito no local, têm o objetivo de completar ou complementar as penalidades, sendo em alguns casos, </w:t>
      </w:r>
      <w:r w:rsidRPr="0001344D"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  <w:t>tão importante quanto a própria penalidade, não podendo a autoridade ou agente de trânsito omitir-se em aplicá-la</w:t>
      </w:r>
      <w:r w:rsidRPr="0001344D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2C56EBAC" w14:textId="77777777" w:rsidR="0001344D" w:rsidRPr="0001344D" w:rsidRDefault="0001344D" w:rsidP="0001344D">
      <w:pPr>
        <w:spacing w:after="0" w:line="240" w:lineRule="auto"/>
        <w:ind w:left="720"/>
        <w:jc w:val="both"/>
        <w:rPr>
          <w:rFonts w:asciiTheme="minorHAnsi" w:hAnsiTheme="minorHAnsi" w:cstheme="minorHAnsi"/>
          <w:sz w:val="24"/>
          <w:szCs w:val="24"/>
        </w:rPr>
      </w:pPr>
      <w:r w:rsidRPr="0001344D">
        <w:rPr>
          <w:rFonts w:asciiTheme="minorHAnsi" w:hAnsiTheme="minorHAnsi" w:cstheme="minorHAnsi"/>
          <w:color w:val="000000"/>
          <w:sz w:val="24"/>
          <w:szCs w:val="24"/>
        </w:rPr>
        <w:t> </w:t>
      </w:r>
    </w:p>
    <w:p w14:paraId="1D9BEB52" w14:textId="77777777" w:rsidR="0001344D" w:rsidRPr="0001344D" w:rsidRDefault="0001344D" w:rsidP="0001344D">
      <w:pPr>
        <w:spacing w:after="0" w:line="240" w:lineRule="auto"/>
        <w:ind w:left="720"/>
        <w:jc w:val="both"/>
        <w:rPr>
          <w:rFonts w:asciiTheme="minorHAnsi" w:hAnsiTheme="minorHAnsi" w:cstheme="minorHAnsi"/>
          <w:sz w:val="24"/>
          <w:szCs w:val="24"/>
        </w:rPr>
      </w:pPr>
      <w:r w:rsidRPr="0001344D">
        <w:rPr>
          <w:rFonts w:asciiTheme="minorHAnsi" w:hAnsiTheme="minorHAnsi" w:cstheme="minorHAnsi"/>
          <w:color w:val="000000"/>
          <w:sz w:val="24"/>
          <w:szCs w:val="24"/>
        </w:rPr>
        <w:t>Ora, o Requerente, condutor autuado pode ser privado de dirigir por conta da suposta ingestão de álcool, mas o condutor que retirou o veículo do local pode dirigir sem ser submetido ao teste do etilômetro? Perceba que a finalidade da norma acaba inexistindo.</w:t>
      </w:r>
    </w:p>
    <w:p w14:paraId="019F675C" w14:textId="77777777" w:rsidR="0001344D" w:rsidRPr="0001344D" w:rsidRDefault="0001344D" w:rsidP="0001344D">
      <w:pPr>
        <w:spacing w:after="0" w:line="240" w:lineRule="auto"/>
        <w:ind w:left="720"/>
        <w:jc w:val="both"/>
        <w:rPr>
          <w:rFonts w:asciiTheme="minorHAnsi" w:hAnsiTheme="minorHAnsi" w:cstheme="minorHAnsi"/>
          <w:sz w:val="24"/>
          <w:szCs w:val="24"/>
        </w:rPr>
      </w:pPr>
      <w:r w:rsidRPr="0001344D">
        <w:rPr>
          <w:rFonts w:asciiTheme="minorHAnsi" w:hAnsiTheme="minorHAnsi" w:cstheme="minorHAnsi"/>
          <w:color w:val="000000"/>
          <w:sz w:val="24"/>
          <w:szCs w:val="24"/>
        </w:rPr>
        <w:t>  </w:t>
      </w:r>
    </w:p>
    <w:p w14:paraId="5B4CDB3C" w14:textId="11CA55ED" w:rsidR="0001344D" w:rsidRPr="0001344D" w:rsidRDefault="0001344D" w:rsidP="0001344D">
      <w:pPr>
        <w:spacing w:after="0" w:line="240" w:lineRule="auto"/>
        <w:ind w:left="720"/>
        <w:jc w:val="both"/>
        <w:rPr>
          <w:rFonts w:asciiTheme="minorHAnsi" w:hAnsiTheme="minorHAnsi" w:cstheme="minorHAnsi"/>
          <w:sz w:val="24"/>
          <w:szCs w:val="24"/>
        </w:rPr>
      </w:pPr>
      <w:r w:rsidRPr="0001344D">
        <w:rPr>
          <w:rFonts w:asciiTheme="minorHAnsi" w:hAnsiTheme="minorHAnsi" w:cstheme="minorHAnsi"/>
          <w:color w:val="000000"/>
          <w:sz w:val="24"/>
          <w:szCs w:val="24"/>
        </w:rPr>
        <w:t xml:space="preserve">Isso porque, se o condutor não estiver em condições de dirigir, o veículo deverá ser recolhido, evitando que seja colocado em risco a integridade física dele e de toda a sociedade. Se assim não for, </w:t>
      </w:r>
      <w:r>
        <w:rPr>
          <w:rFonts w:asciiTheme="minorHAnsi" w:hAnsiTheme="minorHAnsi" w:cstheme="minorHAnsi"/>
          <w:color w:val="000000"/>
          <w:sz w:val="24"/>
          <w:szCs w:val="24"/>
        </w:rPr>
        <w:t>este órgão autuador</w:t>
      </w:r>
      <w:r w:rsidRPr="0001344D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Pr="0001344D">
        <w:rPr>
          <w:rFonts w:asciiTheme="minorHAnsi" w:hAnsiTheme="minorHAnsi" w:cstheme="minorHAnsi"/>
          <w:color w:val="000000"/>
          <w:sz w:val="24"/>
          <w:szCs w:val="24"/>
        </w:rPr>
        <w:t xml:space="preserve">deixou de observar o que o ordenamento jurídico 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editou </w:t>
      </w:r>
      <w:r w:rsidRPr="0001344D">
        <w:rPr>
          <w:rFonts w:asciiTheme="minorHAnsi" w:hAnsiTheme="minorHAnsi" w:cstheme="minorHAnsi"/>
          <w:color w:val="000000"/>
          <w:sz w:val="24"/>
          <w:szCs w:val="24"/>
        </w:rPr>
        <w:t>a Lei n° 11</w:t>
      </w:r>
      <w:r>
        <w:rPr>
          <w:rFonts w:asciiTheme="minorHAnsi" w:hAnsiTheme="minorHAnsi" w:cstheme="minorHAnsi"/>
          <w:color w:val="000000"/>
          <w:sz w:val="24"/>
          <w:szCs w:val="24"/>
        </w:rPr>
        <w:t>.</w:t>
      </w:r>
      <w:r w:rsidRPr="0001344D">
        <w:rPr>
          <w:rFonts w:asciiTheme="minorHAnsi" w:hAnsiTheme="minorHAnsi" w:cstheme="minorHAnsi"/>
          <w:color w:val="000000"/>
          <w:sz w:val="24"/>
          <w:szCs w:val="24"/>
        </w:rPr>
        <w:t>705/2008, conhecida como Lei Seca.</w:t>
      </w:r>
    </w:p>
    <w:p w14:paraId="2E836A16" w14:textId="77777777" w:rsidR="0001344D" w:rsidRPr="0001344D" w:rsidRDefault="0001344D" w:rsidP="0001344D">
      <w:pPr>
        <w:spacing w:after="0" w:line="240" w:lineRule="auto"/>
        <w:ind w:left="720"/>
        <w:jc w:val="both"/>
        <w:rPr>
          <w:rFonts w:asciiTheme="minorHAnsi" w:hAnsiTheme="minorHAnsi" w:cstheme="minorHAnsi"/>
          <w:sz w:val="24"/>
          <w:szCs w:val="24"/>
        </w:rPr>
      </w:pPr>
      <w:r w:rsidRPr="0001344D">
        <w:rPr>
          <w:rFonts w:asciiTheme="minorHAnsi" w:hAnsiTheme="minorHAnsi" w:cstheme="minorHAnsi"/>
          <w:color w:val="000000"/>
          <w:sz w:val="24"/>
          <w:szCs w:val="24"/>
        </w:rPr>
        <w:lastRenderedPageBreak/>
        <w:t>  </w:t>
      </w:r>
    </w:p>
    <w:p w14:paraId="02899268" w14:textId="77777777" w:rsidR="0001344D" w:rsidRPr="0001344D" w:rsidRDefault="0001344D" w:rsidP="0001344D">
      <w:pPr>
        <w:spacing w:after="0" w:line="240" w:lineRule="auto"/>
        <w:ind w:left="720"/>
        <w:jc w:val="both"/>
        <w:rPr>
          <w:rFonts w:asciiTheme="minorHAnsi" w:hAnsiTheme="minorHAnsi" w:cstheme="minorHAnsi"/>
          <w:sz w:val="24"/>
          <w:szCs w:val="24"/>
        </w:rPr>
      </w:pPr>
      <w:r w:rsidRPr="0001344D">
        <w:rPr>
          <w:rFonts w:asciiTheme="minorHAnsi" w:hAnsiTheme="minorHAnsi" w:cstheme="minorHAnsi"/>
          <w:color w:val="000000"/>
          <w:sz w:val="24"/>
          <w:szCs w:val="24"/>
        </w:rPr>
        <w:t>A finalidade é um dos elementos do ato administrativo, d</w:t>
      </w:r>
      <w:r w:rsidRPr="0001344D">
        <w:rPr>
          <w:rFonts w:asciiTheme="minorHAnsi" w:hAnsiTheme="minorHAnsi" w:cstheme="minorHAnsi"/>
          <w:color w:val="000000"/>
          <w:sz w:val="24"/>
          <w:szCs w:val="24"/>
          <w:highlight w:val="white"/>
        </w:rPr>
        <w:t xml:space="preserve">iz respeito aos requisitos para a </w:t>
      </w:r>
      <w:r w:rsidRPr="0001344D">
        <w:rPr>
          <w:rFonts w:asciiTheme="minorHAnsi" w:hAnsiTheme="minorHAnsi" w:cstheme="minorHAnsi"/>
          <w:color w:val="000000"/>
          <w:sz w:val="24"/>
          <w:szCs w:val="24"/>
          <w:highlight w:val="white"/>
          <w:u w:val="single"/>
        </w:rPr>
        <w:t>validade de um ato administrativo</w:t>
      </w:r>
      <w:r w:rsidRPr="0001344D">
        <w:rPr>
          <w:rFonts w:asciiTheme="minorHAnsi" w:hAnsiTheme="minorHAnsi" w:cstheme="minorHAnsi"/>
          <w:color w:val="000000"/>
          <w:sz w:val="24"/>
          <w:szCs w:val="24"/>
          <w:highlight w:val="white"/>
        </w:rPr>
        <w:t>.</w:t>
      </w:r>
    </w:p>
    <w:p w14:paraId="72C24D09" w14:textId="77777777" w:rsidR="0001344D" w:rsidRPr="0001344D" w:rsidRDefault="0001344D" w:rsidP="0001344D">
      <w:pPr>
        <w:spacing w:after="0" w:line="240" w:lineRule="auto"/>
        <w:ind w:left="720"/>
        <w:jc w:val="both"/>
        <w:rPr>
          <w:rFonts w:asciiTheme="minorHAnsi" w:hAnsiTheme="minorHAnsi" w:cstheme="minorHAnsi"/>
          <w:sz w:val="24"/>
          <w:szCs w:val="24"/>
        </w:rPr>
      </w:pPr>
      <w:r w:rsidRPr="0001344D">
        <w:rPr>
          <w:rFonts w:asciiTheme="minorHAnsi" w:hAnsiTheme="minorHAnsi" w:cstheme="minorHAnsi"/>
          <w:color w:val="000000"/>
          <w:sz w:val="24"/>
          <w:szCs w:val="24"/>
          <w:highlight w:val="white"/>
        </w:rPr>
        <w:t>  </w:t>
      </w:r>
    </w:p>
    <w:p w14:paraId="23124763" w14:textId="77777777" w:rsidR="0001344D" w:rsidRPr="0001344D" w:rsidRDefault="0001344D" w:rsidP="0001344D">
      <w:pPr>
        <w:spacing w:after="0" w:line="240" w:lineRule="auto"/>
        <w:ind w:left="720"/>
        <w:jc w:val="both"/>
        <w:rPr>
          <w:rFonts w:asciiTheme="minorHAnsi" w:hAnsiTheme="minorHAnsi" w:cstheme="minorHAnsi"/>
          <w:sz w:val="24"/>
          <w:szCs w:val="24"/>
        </w:rPr>
      </w:pPr>
      <w:r w:rsidRPr="0001344D">
        <w:rPr>
          <w:rFonts w:asciiTheme="minorHAnsi" w:hAnsiTheme="minorHAnsi" w:cstheme="minorHAnsi"/>
          <w:b/>
          <w:color w:val="000000"/>
          <w:sz w:val="24"/>
          <w:szCs w:val="24"/>
          <w:highlight w:val="white"/>
        </w:rPr>
        <w:t>A finalidade d</w:t>
      </w:r>
      <w:r w:rsidRPr="0001344D">
        <w:rPr>
          <w:rFonts w:asciiTheme="minorHAnsi" w:hAnsiTheme="minorHAnsi" w:cstheme="minorHAnsi"/>
          <w:b/>
          <w:color w:val="000000"/>
          <w:sz w:val="24"/>
          <w:szCs w:val="24"/>
        </w:rPr>
        <w:t>eve sempre ser o interesse público.</w:t>
      </w:r>
      <w:r w:rsidRPr="0001344D">
        <w:rPr>
          <w:rFonts w:asciiTheme="minorHAnsi" w:hAnsiTheme="minorHAnsi" w:cstheme="minorHAnsi"/>
          <w:color w:val="000000"/>
          <w:sz w:val="24"/>
          <w:szCs w:val="24"/>
        </w:rPr>
        <w:t xml:space="preserve"> É o objetivo que a administração pretende alcançar com a prática do ato administrativo, sendo aquela que a lei institui explícita ou implicitamente, não sendo cabível que o administrador a substitua por outra. A finalidade deve ser sempre o interesse público e </w:t>
      </w:r>
      <w:r w:rsidRPr="0001344D">
        <w:rPr>
          <w:rFonts w:asciiTheme="minorHAnsi" w:hAnsiTheme="minorHAnsi" w:cstheme="minorHAnsi"/>
          <w:b/>
          <w:color w:val="000000"/>
          <w:sz w:val="24"/>
          <w:szCs w:val="24"/>
        </w:rPr>
        <w:t>a finalidade específica prevista em lei para aquele ato da administração</w:t>
      </w:r>
      <w:r w:rsidRPr="0001344D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0F4967C6" w14:textId="77777777" w:rsidR="0001344D" w:rsidRPr="0001344D" w:rsidRDefault="0001344D" w:rsidP="0001344D">
      <w:pPr>
        <w:spacing w:after="0" w:line="240" w:lineRule="auto"/>
        <w:ind w:left="720"/>
        <w:jc w:val="both"/>
        <w:rPr>
          <w:rFonts w:asciiTheme="minorHAnsi" w:hAnsiTheme="minorHAnsi" w:cstheme="minorHAnsi"/>
          <w:sz w:val="24"/>
          <w:szCs w:val="24"/>
        </w:rPr>
      </w:pPr>
      <w:r w:rsidRPr="0001344D">
        <w:rPr>
          <w:rFonts w:asciiTheme="minorHAnsi" w:hAnsiTheme="minorHAnsi" w:cstheme="minorHAnsi"/>
          <w:color w:val="000000"/>
          <w:sz w:val="24"/>
          <w:szCs w:val="24"/>
        </w:rPr>
        <w:t>  </w:t>
      </w:r>
    </w:p>
    <w:p w14:paraId="0E1EE35C" w14:textId="77777777" w:rsidR="0001344D" w:rsidRPr="0001344D" w:rsidRDefault="0001344D" w:rsidP="0001344D">
      <w:pPr>
        <w:spacing w:after="0" w:line="240" w:lineRule="auto"/>
        <w:ind w:left="720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01344D">
        <w:rPr>
          <w:rFonts w:asciiTheme="minorHAnsi" w:hAnsiTheme="minorHAnsi" w:cstheme="minorHAnsi"/>
          <w:color w:val="000000"/>
          <w:sz w:val="24"/>
          <w:szCs w:val="24"/>
        </w:rPr>
        <w:t>Assim, há vício com relação à finalidade (desvio de finalidade), que está perfeitamente configurado, uma vez que o ato não foi usado para a finalidade que dele se espera.</w:t>
      </w:r>
    </w:p>
    <w:p w14:paraId="5204FE63" w14:textId="77777777" w:rsidR="0001344D" w:rsidRPr="0001344D" w:rsidRDefault="0001344D" w:rsidP="0001344D">
      <w:pPr>
        <w:spacing w:after="0" w:line="240" w:lineRule="auto"/>
        <w:ind w:left="720"/>
        <w:jc w:val="both"/>
        <w:rPr>
          <w:rFonts w:asciiTheme="minorHAnsi" w:hAnsiTheme="minorHAnsi" w:cstheme="minorHAnsi"/>
          <w:sz w:val="24"/>
          <w:szCs w:val="24"/>
        </w:rPr>
      </w:pPr>
    </w:p>
    <w:p w14:paraId="249FFE1F" w14:textId="77777777" w:rsidR="0001344D" w:rsidRPr="0001344D" w:rsidRDefault="0001344D" w:rsidP="0001344D">
      <w:pPr>
        <w:spacing w:after="0" w:line="240" w:lineRule="auto"/>
        <w:ind w:left="720"/>
        <w:jc w:val="both"/>
        <w:rPr>
          <w:rFonts w:asciiTheme="minorHAnsi" w:hAnsiTheme="minorHAnsi" w:cstheme="minorHAnsi"/>
          <w:sz w:val="24"/>
          <w:szCs w:val="24"/>
        </w:rPr>
      </w:pPr>
      <w:r w:rsidRPr="0001344D">
        <w:rPr>
          <w:rFonts w:asciiTheme="minorHAnsi" w:hAnsiTheme="minorHAnsi" w:cstheme="minorHAnsi"/>
          <w:color w:val="000000"/>
          <w:sz w:val="24"/>
          <w:szCs w:val="24"/>
        </w:rPr>
        <w:t>Note que temos o desvirtuamento da regra de competência pelo fato de o ato administrativo não ser direcionado ao interesse público, nem ao objetivo específico por ele descrito.</w:t>
      </w:r>
    </w:p>
    <w:p w14:paraId="28E4C328" w14:textId="77777777" w:rsidR="0001344D" w:rsidRPr="0001344D" w:rsidRDefault="0001344D" w:rsidP="0001344D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6B1F8B7A" w14:textId="77777777" w:rsidR="0001344D" w:rsidRPr="0001344D" w:rsidRDefault="0001344D" w:rsidP="0001344D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01344D">
        <w:rPr>
          <w:rFonts w:asciiTheme="minorHAnsi" w:hAnsiTheme="minorHAnsi" w:cstheme="minorHAnsi"/>
          <w:sz w:val="24"/>
          <w:szCs w:val="24"/>
        </w:rPr>
        <w:pict w14:anchorId="185ABB99">
          <v:rect id="_x0000_i1026" style="width:0;height:1.5pt" o:hralign="center" o:hrstd="t" o:hr="t" fillcolor="#a0a0a0" stroked="f"/>
        </w:pict>
      </w:r>
    </w:p>
    <w:p w14:paraId="3436BF22" w14:textId="77777777" w:rsidR="0001344D" w:rsidRPr="0001344D" w:rsidRDefault="0001344D" w:rsidP="0001344D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334F3FE9" w14:textId="77777777" w:rsidR="0001344D" w:rsidRPr="0001344D" w:rsidRDefault="0001344D" w:rsidP="0001344D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01344D">
        <w:rPr>
          <w:rFonts w:asciiTheme="minorHAnsi" w:hAnsiTheme="minorHAnsi" w:cstheme="minorHAnsi"/>
          <w:color w:val="000000"/>
          <w:sz w:val="24"/>
          <w:szCs w:val="24"/>
        </w:rPr>
        <w:t>O desvio de finalidade também é encontrado quando há cassação do direito de dirigir de motorista que não violou a suspensão do direito de dirigir, ou seja, o condutor não dirigiu enquanto suspenso e não infringiu o art. 263 do CTB.</w:t>
      </w:r>
    </w:p>
    <w:p w14:paraId="0253AF35" w14:textId="77777777" w:rsidR="0001344D" w:rsidRPr="0001344D" w:rsidRDefault="0001344D" w:rsidP="0001344D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46DA77C7" w14:textId="1A4F1787" w:rsidR="00EF1CDB" w:rsidRPr="0001344D" w:rsidRDefault="0001344D" w:rsidP="0001344D">
      <w:pPr>
        <w:spacing w:after="0" w:line="240" w:lineRule="auto"/>
        <w:jc w:val="both"/>
        <w:rPr>
          <w:rFonts w:asciiTheme="minorHAnsi" w:hAnsiTheme="minorHAnsi" w:cstheme="minorHAnsi"/>
        </w:rPr>
      </w:pPr>
      <w:r w:rsidRPr="0001344D">
        <w:rPr>
          <w:rFonts w:asciiTheme="minorHAnsi" w:hAnsiTheme="minorHAnsi" w:cstheme="minorHAnsi"/>
          <w:color w:val="000000"/>
          <w:sz w:val="24"/>
          <w:szCs w:val="24"/>
        </w:rPr>
        <w:t>Isso porque, a finalidade do legislador do Código de Trânsito Brasileiro, ao estabelecer a individualização das penas em seu artigo 257, foi justamente identificar e punir o real infrator, evitando que o proprietário do veículo suportasse penas desproporcionais ou por infrações​ ​que​ ​não​ ​tivesse​ ​dado​ ​causa.</w:t>
      </w:r>
    </w:p>
    <w:sectPr w:rsidR="00EF1CDB" w:rsidRPr="000134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E05C1"/>
    <w:multiLevelType w:val="hybridMultilevel"/>
    <w:tmpl w:val="8D6E57EC"/>
    <w:lvl w:ilvl="0" w:tplc="5F747FD4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8290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44D"/>
    <w:rsid w:val="0001344D"/>
    <w:rsid w:val="00A21E18"/>
    <w:rsid w:val="00EF1CDB"/>
    <w:rsid w:val="00F32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DE8BE"/>
  <w15:chartTrackingRefBased/>
  <w15:docId w15:val="{9A41EF22-FA71-473A-8476-4D006E014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44D"/>
    <w:rPr>
      <w:rFonts w:ascii="Calibri" w:eastAsia="Calibri" w:hAnsi="Calibri" w:cs="Calibri"/>
      <w:kern w:val="0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134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549</Words>
  <Characters>2970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 Avallone</dc:creator>
  <cp:keywords/>
  <dc:description/>
  <cp:lastModifiedBy>Erica Avallone</cp:lastModifiedBy>
  <cp:revision>1</cp:revision>
  <dcterms:created xsi:type="dcterms:W3CDTF">2023-03-07T17:18:00Z</dcterms:created>
  <dcterms:modified xsi:type="dcterms:W3CDTF">2023-03-07T17:37:00Z</dcterms:modified>
</cp:coreProperties>
</file>