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3A7A8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32"/>
          <w:szCs w:val="32"/>
        </w:rPr>
      </w:pPr>
      <w:r w:rsidRPr="007869A6">
        <w:rPr>
          <w:rFonts w:asciiTheme="minorHAnsi" w:hAnsiTheme="minorHAnsi" w:cstheme="minorHAnsi"/>
          <w:b/>
          <w:color w:val="000000"/>
          <w:sz w:val="32"/>
          <w:szCs w:val="32"/>
        </w:rPr>
        <w:t>Tese do veículo vendido (antes ou depois do cometimento das infrações)</w:t>
      </w:r>
    </w:p>
    <w:p w14:paraId="26837F38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DB4611C" w14:textId="6748A788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É muito comum que </w:t>
      </w:r>
      <w:r>
        <w:rPr>
          <w:rFonts w:asciiTheme="minorHAnsi" w:hAnsiTheme="minorHAnsi" w:cstheme="minorHAnsi"/>
          <w:color w:val="000000"/>
          <w:sz w:val="24"/>
          <w:szCs w:val="24"/>
        </w:rPr>
        <w:t>proprietários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vendam seus veículos sem que haja a transferência dos mesmos.</w:t>
      </w:r>
    </w:p>
    <w:p w14:paraId="2BFE39E0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2FF23E2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Isso faz com que as infrações e pontos delas decorrentes sejam inseridas na CNH do proprietário, mesmo após a venda, uma vez que este não é o possuidor do veículo, ou seja, não detém a posse do mesmo.</w:t>
      </w:r>
    </w:p>
    <w:p w14:paraId="21108951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270B7B4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Assim, as penalidades podem ser inseridas na CNH de permissionários e de motoristas que estejam cumprindo penalidades de suspensão. E isso pode causar inúmeros transtornos, como o cancelamento da PPD e cassação da CNH.</w:t>
      </w:r>
    </w:p>
    <w:p w14:paraId="09442E9D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7BCF5AF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Por isso, usamos a tese de veículo vendido antes ou depois do cometimento das infrações, veja o modelo:</w:t>
      </w:r>
    </w:p>
    <w:p w14:paraId="4729FA57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075A530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sz w:val="24"/>
          <w:szCs w:val="24"/>
        </w:rPr>
        <w:pict w14:anchorId="1AECC4B9">
          <v:rect id="_x0000_i1025" style="width:0;height:1.5pt" o:hralign="center" o:hrstd="t" o:hr="t" fillcolor="#a0a0a0" stroked="f"/>
        </w:pict>
      </w:r>
    </w:p>
    <w:p w14:paraId="2C4EE427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9936B1B" w14:textId="77777777" w:rsidR="007869A6" w:rsidRPr="007869A6" w:rsidRDefault="007869A6" w:rsidP="007869A6">
      <w:pPr>
        <w:spacing w:after="0" w:line="240" w:lineRule="auto"/>
        <w:ind w:left="-30" w:hanging="3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DA RESPONSABILIDADE PELAS INFRAÇÕES COMETIDAS ANTES DA TRADIÇÃO DO VEÍCULO</w:t>
      </w:r>
    </w:p>
    <w:p w14:paraId="5780DAD3" w14:textId="77777777" w:rsidR="007869A6" w:rsidRPr="007869A6" w:rsidRDefault="007869A6" w:rsidP="007869A6">
      <w:pPr>
        <w:spacing w:after="0" w:line="240" w:lineRule="auto"/>
        <w:ind w:left="-28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 </w:t>
      </w:r>
    </w:p>
    <w:p w14:paraId="0557BFB3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Em que pese o cadastro administrativo estar em seu nome, o veículo foi vendido em XX/XX/XXXX.</w:t>
      </w:r>
    </w:p>
    <w:p w14:paraId="1261F0D9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52617EDC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Nesse caso, vale a análise da regra contida no artigo 134, posto que há documentos que comprovam a venda e também demonstram que o Requerente não detinha a posse do veículo quando do cometimento da infração que consta na figura 1, não podendo ser responsabilizado pelas infrações cometidas, vejamos:</w:t>
      </w:r>
    </w:p>
    <w:p w14:paraId="014CA973" w14:textId="77777777" w:rsidR="007869A6" w:rsidRPr="007869A6" w:rsidRDefault="007869A6" w:rsidP="007869A6">
      <w:pPr>
        <w:spacing w:after="0" w:line="240" w:lineRule="auto"/>
        <w:ind w:left="-280" w:firstLine="28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 </w:t>
      </w:r>
    </w:p>
    <w:p w14:paraId="750D46FD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</w:rPr>
      </w:pPr>
      <w:r w:rsidRPr="007869A6">
        <w:rPr>
          <w:rFonts w:asciiTheme="minorHAnsi" w:hAnsiTheme="minorHAnsi" w:cstheme="minorHAnsi"/>
          <w:i/>
          <w:color w:val="000000"/>
          <w:highlight w:val="white"/>
        </w:rPr>
        <w:t>Art. 134. No caso de transferência de propriedade, o proprietário antigo deverá encaminhar ao órgão executivo de trânsito do Estado dentro de um prazo de trinta dias, cópia autenticada do comprovante de transferência de propriedade, devidamente assinado e datado, sob pena de ter que se responsabilizar solidariamente pelas penalidades impostas e suas reincidências até a data da comunicação.</w:t>
      </w:r>
    </w:p>
    <w:p w14:paraId="19694A2E" w14:textId="77777777" w:rsidR="007869A6" w:rsidRPr="007869A6" w:rsidRDefault="007869A6" w:rsidP="007869A6">
      <w:pPr>
        <w:spacing w:after="0" w:line="240" w:lineRule="auto"/>
        <w:ind w:left="-28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  </w:t>
      </w:r>
    </w:p>
    <w:p w14:paraId="774F85DF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 xml:space="preserve">O que devemos considerar neste caso é que, na data da infração, o veículo ainda estava em posse do antigo proprietário, devendo este ser o responsável pela mesma, pois resta plenamente demonstrado e comprovado que o Requerente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  <w:highlight w:val="white"/>
          <w:u w:val="single"/>
        </w:rPr>
        <w:t>não teve qualquer participação na infração cometida</w:t>
      </w: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.</w:t>
      </w:r>
    </w:p>
    <w:p w14:paraId="40CFC0EF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 </w:t>
      </w:r>
    </w:p>
    <w:p w14:paraId="7D2973A7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Deve existir, pois,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uma relação de causalidade entre o infrator e a infração cometida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>, não sendo possível admitir a responsabilidade indireta do atual proprietário naquelas infrações que, sabidamente, não teve qualquer tipo de participação.</w:t>
      </w:r>
    </w:p>
    <w:p w14:paraId="3A46BDE9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 </w:t>
      </w:r>
    </w:p>
    <w:p w14:paraId="46F07161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Essa relação de causalidade, na autuação anotada no prontuário do Requerente,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simplesmente não existe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, posto que, antes da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tradição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do bem quem detinha a guarda do veículo era o antigo proprietário.</w:t>
      </w:r>
    </w:p>
    <w:p w14:paraId="113A78FF" w14:textId="77777777" w:rsidR="007869A6" w:rsidRPr="007869A6" w:rsidRDefault="007869A6" w:rsidP="007869A6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B40918D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Vejamos a regra contida no Código Civil, em seu artigo 237:</w:t>
      </w:r>
    </w:p>
    <w:p w14:paraId="471C8991" w14:textId="77777777" w:rsidR="007869A6" w:rsidRPr="007869A6" w:rsidRDefault="007869A6" w:rsidP="007869A6">
      <w:pPr>
        <w:spacing w:after="0" w:line="240" w:lineRule="auto"/>
        <w:ind w:left="-28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  <w:highlight w:val="white"/>
        </w:rPr>
        <w:t> </w:t>
      </w:r>
    </w:p>
    <w:p w14:paraId="2CD6541F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Art. 237. </w:t>
      </w:r>
      <w:r w:rsidRPr="007869A6">
        <w:rPr>
          <w:rFonts w:asciiTheme="minorHAnsi" w:hAnsiTheme="minorHAnsi" w:cstheme="minorHAnsi"/>
          <w:b/>
          <w:i/>
          <w:color w:val="000000"/>
          <w:sz w:val="24"/>
          <w:szCs w:val="24"/>
          <w:u w:val="single"/>
        </w:rPr>
        <w:t>Até a tradição pertence ao devedor a coisa</w:t>
      </w:r>
      <w:r w:rsidRPr="007869A6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, </w:t>
      </w:r>
      <w:r w:rsidRPr="007869A6">
        <w:rPr>
          <w:rFonts w:asciiTheme="minorHAnsi" w:hAnsiTheme="minorHAnsi" w:cstheme="minorHAnsi"/>
          <w:i/>
          <w:color w:val="000000"/>
          <w:sz w:val="24"/>
          <w:szCs w:val="24"/>
        </w:rPr>
        <w:t>com os seus melhoramentos e acrescidos, pelos quais poderá exigir aumento no preço; se o credor não anuir, poderá o devedor resolver a obrigação</w:t>
      </w:r>
      <w:r w:rsidRPr="007869A6">
        <w:rPr>
          <w:rFonts w:asciiTheme="minorHAnsi" w:hAnsiTheme="minorHAnsi" w:cstheme="minorHAnsi"/>
          <w:b/>
          <w:i/>
          <w:color w:val="000000"/>
          <w:sz w:val="24"/>
          <w:szCs w:val="24"/>
        </w:rPr>
        <w:t>. (grifos nossos)</w:t>
      </w:r>
    </w:p>
    <w:p w14:paraId="3565F7F0" w14:textId="77777777" w:rsidR="007869A6" w:rsidRPr="007869A6" w:rsidRDefault="007869A6" w:rsidP="007869A6">
      <w:pPr>
        <w:spacing w:after="0" w:line="240" w:lineRule="auto"/>
        <w:ind w:left="-28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  </w:t>
      </w:r>
    </w:p>
    <w:p w14:paraId="23E58164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Vejamos o que recentemente decidiu o Juizado Especial de Botucatu</w:t>
      </w:r>
    </w:p>
    <w:p w14:paraId="36A18C94" w14:textId="77777777" w:rsidR="007869A6" w:rsidRPr="007869A6" w:rsidRDefault="007869A6" w:rsidP="007869A6">
      <w:pPr>
        <w:spacing w:after="0" w:line="240" w:lineRule="auto"/>
        <w:ind w:left="-280" w:firstLine="28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6E9AECE5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Vara: Juizado Especial Cível JUÍZO DE DIREITO DA VARA DO JUIZADO ESPECIAL CÍVEL E CRIMINAL. Processo 1001765-19.2018.8.26.0079 - Procedimento do Juizado Especial Cível - Multas e demais Sanções - Lourival Antônio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Panhozzi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- Vistos. Em sede de tutela provisória de urgência, o autor requer seja afastada sua responsabilidade por infrações de trânsito vinculadas ao veículo EVOQUE 2.0 DYNAMIC TECH 4WD 16V, de placas FDT 0250, após 30/06/2017, data de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alienação do bem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a empresa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co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Requerida Gatti Veículos Ltda - EPP. A tutela provisória de urgência será concedida quando houver elementos que evidenciem a probabilidade do direito (fumus boni iuris ou plausibilidade do direito substancial) e o perigo de dano (tutela satisfativa) ou o risco ao resultado útil do processo (tutela cautelar), nos termos do art. 300, caput, do Novo CPC. </w:t>
      </w:r>
      <w:r w:rsidRPr="007869A6">
        <w:rPr>
          <w:rFonts w:asciiTheme="minorHAnsi" w:hAnsiTheme="minorHAnsi" w:cstheme="minorHAnsi"/>
          <w:i/>
          <w:color w:val="000000"/>
          <w:sz w:val="24"/>
          <w:szCs w:val="24"/>
        </w:rPr>
        <w:t xml:space="preserve">In </w:t>
      </w:r>
      <w:proofErr w:type="spellStart"/>
      <w:r w:rsidRPr="007869A6">
        <w:rPr>
          <w:rFonts w:asciiTheme="minorHAnsi" w:hAnsiTheme="minorHAnsi" w:cstheme="minorHAnsi"/>
          <w:i/>
          <w:color w:val="000000"/>
          <w:sz w:val="24"/>
          <w:szCs w:val="24"/>
        </w:rPr>
        <w:t>casu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, vê-se que há elementos que evidenciam a probabilidade do direito e o perigo de dano, para o fim de autorizar o deferimento da medida perseguida. O documento de fls. 15 indica que o veículo foi entregue a última requerida em 30/06/2017, portanto tem-se que a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tradição do bem ao adquirente é suficiente para eximir o alienante de quaisquer responsabilidades advindas da ulterior utilização do veículo pelo novo proprietário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. Sobre o tema, o C. Superior Tribunal de Justiça já sedimentou o entendimento no sentido de que a regra prevista no artigo 134 do Código de </w:t>
      </w:r>
      <w:proofErr w:type="gram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Transito</w:t>
      </w:r>
      <w:proofErr w:type="gram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Brasileiro sofre mitigação quando restarem comprovadas nos autos que as infrações foram cometidas após aquisição do veículo por terceiro, mesmo que não ocorra a transferência. Neste sentido, </w:t>
      </w:r>
      <w:r w:rsidRPr="007869A6">
        <w:rPr>
          <w:rFonts w:asciiTheme="minorHAnsi" w:hAnsiTheme="minorHAnsi" w:cstheme="minorHAnsi"/>
          <w:i/>
          <w:color w:val="000000"/>
          <w:sz w:val="24"/>
          <w:szCs w:val="24"/>
        </w:rPr>
        <w:t>"Comprovada a transferência da propriedade do veículo, afasta-se a responsabilidade do antigo proprietário pelas infrações cometidas após a alienação, mitigando-se, assim, o comando do art. 134 do Código de Transito Brasileiro".(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AgRg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no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AREsp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454738/RS - 454738/RS - Ministro Napoleão Nunes Maia Filho - 1ª Turma - j. 04.11.2014 -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DJe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18.11.2014).Outrossim, e certo que o perigo de dano exsurge da iminência da instauração de processo administrativo em desfavor do autor, consistente na suspensão de seu direito de dirigir. Destarte,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ANTECIPO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a tutela pretendida para afastar a responsabilidade do autor, após a data 30/06/2017, pelas infrações de </w:t>
      </w:r>
      <w:proofErr w:type="gram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transito</w:t>
      </w:r>
      <w:proofErr w:type="gram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relacionadas ao veículo EVOQUE 2.0 DYNAMIC TECH 4WD 16V, de placas FDT 0250.Nesta toada, determino aos requeridos que suspendam a pontuação, decorrente das mencionadas infrações, atribuída ao prontuário de motorista do autor. Oficie-se. Citem-se 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lastRenderedPageBreak/>
        <w:t>os requeridos para apresentarem contestação, cientificando-os que, caso tenham proposta de acordo, poderão oferta-la em preliminar, na própria peça de defesa, salientando que "a apresentação de proposta de conciliação pelo réu não induz a confissão" (Enunciado nº 76 do FONAJEF</w:t>
      </w:r>
      <w:proofErr w:type="gram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).A</w:t>
      </w:r>
      <w:proofErr w:type="gram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seguir, intime-se a parte autora para manifestar-se em replica. Após, conclusos. Oficie-se. Intimem-</w:t>
      </w:r>
      <w:proofErr w:type="gram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se.[...]</w:t>
      </w:r>
      <w:proofErr w:type="gramEnd"/>
    </w:p>
    <w:p w14:paraId="487EF2F2" w14:textId="77777777" w:rsidR="007869A6" w:rsidRPr="007869A6" w:rsidRDefault="007869A6" w:rsidP="007869A6">
      <w:pPr>
        <w:spacing w:after="0" w:line="240" w:lineRule="auto"/>
        <w:ind w:left="2560" w:firstLine="28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493AFB2A" w14:textId="77777777" w:rsidR="007869A6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Nesse sentido, confirma-se ainda mais o entendimento do Superior Tribunal de Justiça:</w:t>
      </w:r>
    </w:p>
    <w:p w14:paraId="76C25E82" w14:textId="77777777" w:rsidR="007869A6" w:rsidRPr="007869A6" w:rsidRDefault="007869A6" w:rsidP="007869A6">
      <w:pPr>
        <w:spacing w:after="0" w:line="240" w:lineRule="auto"/>
        <w:ind w:left="-280" w:firstLine="28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19B0A2C8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PROCESSUAL CIVIL E ADMINISTRATIVO. RECURSO ESPECIAL.CÓDIGO DE TRÂNSITO BRASILEIRO.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>SUSPENSÃO DO DIREITO DE DIRIGIR. ALIENAÇÃO DE VEÍCULO. RESPONSABILIDADE PELAS INFRAÇÕES. SOLIDARIEDADE ENTRE COMPRADOR E VENDEDOR ENQUANTO NÃO HOUVER A COMUNICAÇÃO DO NEGÓCIO JURÍDICO AO DETRAN. ACÓRDÃO A QUO QUE AFIRMA ESTAR COMPROVADO QUE AS INFRAÇÕES QUE ENSEJARAM A PENALIDADE NÃO FORAM COMETIDAS PELO VENDEDOR. IMPOSSIBILIDADE DE SER-LHE APLICADA A SUSPENSÃO DO DIREITO DE DIRIGIR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. 1. [...] 2. Analisando casos semelhantes, tanto a Primeira como a Segunda Turma firmaram entendimento de que realmente existe a solidariedade pelas infrações entre o vendedor e o comprador do veículo, enquanto a alienação não for informada ao DETRAN. </w:t>
      </w:r>
      <w:r w:rsidRPr="007869A6">
        <w:rPr>
          <w:rFonts w:asciiTheme="minorHAnsi" w:hAnsiTheme="minorHAnsi" w:cstheme="minorHAnsi"/>
          <w:color w:val="000000"/>
          <w:sz w:val="24"/>
          <w:szCs w:val="24"/>
          <w:u w:val="single"/>
        </w:rPr>
        <w:t>No entanto, tal solidariedade não é absoluta e deve ser relativizada nos casos em que estiver comprovado que não foi o vendedor que cometeu as infrações.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Precedentes: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REsp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804.458/RS, Rel. Ministro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teori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Albino Zavascki, Primeira Turma,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DJe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31/08/2009 e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REsp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1024815/RS, Rel. Ministro Castro Meira, Segunda Turma,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DJe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04/09/2008. 3. No caso dos autos, não se deve aplicar a penalidade ao ora recorrido, uma vez que o acórdão a quo é categórico ao afirmar que a infração não foi cometida pelo recorrido, mas, sim, pelo novo proprietário do veículo. 4. Recurso especial não provido. (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REsp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1063511/PR, Rel. Ministro BENEDITO GONÇALVES, PRIMEIRA TURMA, julgado em 18/03/2010,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DJe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26/03/2010) </w:t>
      </w:r>
    </w:p>
    <w:p w14:paraId="28618862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40B9D425" w14:textId="77777777" w:rsidR="007869A6" w:rsidRPr="007869A6" w:rsidRDefault="007869A6" w:rsidP="007869A6">
      <w:pPr>
        <w:spacing w:after="0" w:line="240" w:lineRule="auto"/>
        <w:ind w:left="1140"/>
        <w:jc w:val="center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***</w:t>
      </w:r>
    </w:p>
    <w:p w14:paraId="340C604A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59D6D059" w14:textId="77777777" w:rsidR="007869A6" w:rsidRPr="007869A6" w:rsidRDefault="007869A6" w:rsidP="007869A6">
      <w:pPr>
        <w:spacing w:after="0" w:line="240" w:lineRule="auto"/>
        <w:ind w:left="114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ADMINISTRATIVO. INFRAÇÃO DE TRÂNSITO. ALIENAÇÃO DE VEÍCULO. TRADIÇÃO. AUSÊNCIA DE REGISTRO DE TRANSFERÊNCIA JUNTO AO DETRAN. 1. Ainda que inexistente a comunicação de venda do veículo por parte do alienante, restando - de modo incontroverso - comprovada a impossibilidade de imputar ao antigo proprietário as infrações cometidas, a responsabilização solidária prevista no art. 134 do CTB deve ser mitigada. Precedentes. 2. Recurso especial a que se nega provimento. (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REsp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804.458/RS, Rel. Ministro TEORI ALBINO ZAVASCKI, PRIMEIRA TURMA, julgado em 20/08/2009, </w:t>
      </w:r>
      <w:proofErr w:type="spellStart"/>
      <w:r w:rsidRPr="007869A6">
        <w:rPr>
          <w:rFonts w:asciiTheme="minorHAnsi" w:hAnsiTheme="minorHAnsi" w:cstheme="minorHAnsi"/>
          <w:color w:val="000000"/>
          <w:sz w:val="24"/>
          <w:szCs w:val="24"/>
        </w:rPr>
        <w:t>DJe</w:t>
      </w:r>
      <w:proofErr w:type="spellEnd"/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 31/08/2009) </w:t>
      </w:r>
    </w:p>
    <w:p w14:paraId="2103BB87" w14:textId="77777777" w:rsidR="007869A6" w:rsidRPr="007869A6" w:rsidRDefault="007869A6" w:rsidP="007869A6">
      <w:pPr>
        <w:spacing w:after="0" w:line="240" w:lineRule="auto"/>
        <w:ind w:left="2560"/>
        <w:jc w:val="both"/>
        <w:rPr>
          <w:rFonts w:asciiTheme="minorHAnsi" w:hAnsiTheme="minorHAnsi" w:cstheme="minorHAnsi"/>
          <w:sz w:val="24"/>
          <w:szCs w:val="24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> </w:t>
      </w:r>
    </w:p>
    <w:p w14:paraId="3DC2A432" w14:textId="306C18F2" w:rsidR="00EF1CDB" w:rsidRPr="007869A6" w:rsidRDefault="007869A6" w:rsidP="007869A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7869A6">
        <w:rPr>
          <w:rFonts w:asciiTheme="minorHAnsi" w:hAnsiTheme="minorHAnsi" w:cstheme="minorHAnsi"/>
          <w:color w:val="000000"/>
          <w:sz w:val="24"/>
          <w:szCs w:val="24"/>
        </w:rPr>
        <w:t xml:space="preserve">Logo, devemos observar a regra contida no artigo 134, do Código de Trânsito Brasileiro, afastando-se a responsabilidade do Requerente, posto que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A INFRAÇÃO OCORREU 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>ANTES</w:t>
      </w:r>
      <w:r w:rsidRPr="007869A6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DA VENDA E ENTREGA DO VEÍCULO AO MESMO</w:t>
      </w:r>
      <w:r w:rsidRPr="007869A6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sectPr w:rsidR="00EF1CDB" w:rsidRPr="00786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5C1"/>
    <w:multiLevelType w:val="hybridMultilevel"/>
    <w:tmpl w:val="8D6E57EC"/>
    <w:lvl w:ilvl="0" w:tplc="5F747FD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02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A6"/>
    <w:rsid w:val="005F056B"/>
    <w:rsid w:val="007869A6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DD89"/>
  <w15:chartTrackingRefBased/>
  <w15:docId w15:val="{A96629F5-0550-48E1-A31A-B7BBAF27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9A6"/>
    <w:rPr>
      <w:rFonts w:ascii="Calibri" w:eastAsia="Calibri" w:hAnsi="Calibri" w:cs="Calibri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1224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2023-03-07T14:51:00Z</dcterms:created>
  <dcterms:modified xsi:type="dcterms:W3CDTF">2023-03-07T15:03:00Z</dcterms:modified>
</cp:coreProperties>
</file>