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7B7E9" w14:textId="66300DB2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  <w:b/>
        </w:rPr>
      </w:pPr>
      <w:bookmarkStart w:id="0" w:name="_Hlk66700274"/>
      <w:r w:rsidRPr="00A110A4">
        <w:rPr>
          <w:rFonts w:asciiTheme="minorHAnsi" w:hAnsiTheme="minorHAnsi" w:cstheme="minorHAnsi"/>
          <w:b/>
        </w:rPr>
        <w:t xml:space="preserve">ILUSTRÍSSIMO SENHOR </w:t>
      </w:r>
      <w:r w:rsidR="00BE118B" w:rsidRPr="00A110A4">
        <w:rPr>
          <w:rFonts w:asciiTheme="minorHAnsi" w:hAnsiTheme="minorHAnsi" w:cstheme="minorHAnsi"/>
          <w:b/>
        </w:rPr>
        <w:t>SUPERINTENDENTE</w:t>
      </w:r>
      <w:r w:rsidRPr="00A110A4">
        <w:rPr>
          <w:rFonts w:asciiTheme="minorHAnsi" w:hAnsiTheme="minorHAnsi" w:cstheme="minorHAnsi"/>
          <w:b/>
        </w:rPr>
        <w:t xml:space="preserve"> DO </w:t>
      </w:r>
      <w:r w:rsidRPr="00A110A4">
        <w:rPr>
          <w:rFonts w:asciiTheme="minorHAnsi" w:hAnsiTheme="minorHAnsi" w:cstheme="minorHAnsi"/>
          <w:b/>
          <w:color w:val="FF0000"/>
        </w:rPr>
        <w:t xml:space="preserve">DEPARTAMENTO DE </w:t>
      </w:r>
      <w:r w:rsidR="00A110A4" w:rsidRPr="00A110A4">
        <w:rPr>
          <w:rFonts w:asciiTheme="minorHAnsi" w:hAnsiTheme="minorHAnsi" w:cstheme="minorHAnsi"/>
          <w:b/>
          <w:color w:val="FF0000"/>
        </w:rPr>
        <w:t>TRÂNSITO</w:t>
      </w:r>
      <w:r w:rsidR="000933FF" w:rsidRPr="00A110A4">
        <w:rPr>
          <w:rFonts w:asciiTheme="minorHAnsi" w:hAnsiTheme="minorHAnsi" w:cstheme="minorHAnsi"/>
          <w:b/>
          <w:color w:val="FF0000"/>
        </w:rPr>
        <w:t xml:space="preserve"> DO</w:t>
      </w:r>
      <w:r w:rsidRPr="00A110A4">
        <w:rPr>
          <w:rFonts w:asciiTheme="minorHAnsi" w:hAnsiTheme="minorHAnsi" w:cstheme="minorHAnsi"/>
          <w:b/>
          <w:color w:val="FF0000"/>
        </w:rPr>
        <w:t xml:space="preserve"> ESTADO DO </w:t>
      </w:r>
      <w:r w:rsidR="0017286E">
        <w:rPr>
          <w:rFonts w:asciiTheme="minorHAnsi" w:hAnsiTheme="minorHAnsi" w:cstheme="minorHAnsi"/>
          <w:b/>
          <w:color w:val="FF0000"/>
        </w:rPr>
        <w:t>ESTADO</w:t>
      </w:r>
      <w:r w:rsidR="000933FF" w:rsidRPr="00A110A4">
        <w:rPr>
          <w:rFonts w:asciiTheme="minorHAnsi" w:hAnsiTheme="minorHAnsi" w:cstheme="minorHAnsi"/>
          <w:b/>
          <w:color w:val="FF0000"/>
        </w:rPr>
        <w:t>.</w:t>
      </w:r>
    </w:p>
    <w:p w14:paraId="3DE74002" w14:textId="1CAFF510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  <w:b/>
        </w:rPr>
      </w:pPr>
    </w:p>
    <w:p w14:paraId="4E22BC58" w14:textId="7820671B" w:rsidR="00203B76" w:rsidRPr="00A110A4" w:rsidRDefault="00203B76" w:rsidP="00203B76">
      <w:pPr>
        <w:spacing w:before="120" w:after="120"/>
        <w:jc w:val="both"/>
        <w:rPr>
          <w:rFonts w:asciiTheme="minorHAnsi" w:hAnsiTheme="minorHAnsi" w:cstheme="minorHAnsi"/>
        </w:rPr>
      </w:pPr>
    </w:p>
    <w:p w14:paraId="3FA40EA3" w14:textId="1A86D8D2" w:rsidR="00ED32D0" w:rsidRPr="00A110A4" w:rsidRDefault="00ED32D0" w:rsidP="00BE118B">
      <w:pPr>
        <w:spacing w:before="120" w:after="120"/>
        <w:jc w:val="both"/>
        <w:rPr>
          <w:rFonts w:asciiTheme="minorHAnsi" w:hAnsiTheme="minorHAnsi" w:cstheme="minorHAnsi"/>
          <w:b/>
          <w:bCs/>
          <w:color w:val="FF0000"/>
        </w:rPr>
      </w:pPr>
      <w:r w:rsidRPr="00A110A4">
        <w:rPr>
          <w:rFonts w:asciiTheme="minorHAnsi" w:hAnsiTheme="minorHAnsi" w:cstheme="minorHAnsi"/>
        </w:rPr>
        <w:t xml:space="preserve">Ref. </w:t>
      </w:r>
      <w:r w:rsidR="000933FF" w:rsidRPr="00A110A4">
        <w:rPr>
          <w:rFonts w:asciiTheme="minorHAnsi" w:hAnsiTheme="minorHAnsi" w:cstheme="minorHAnsi"/>
          <w:b/>
          <w:bCs/>
        </w:rPr>
        <w:t>Processo de Suspensão do Direito de Dirigir por Resultado Positivo em Exame Toxicológico</w:t>
      </w:r>
    </w:p>
    <w:p w14:paraId="14EBA226" w14:textId="77777777" w:rsidR="00203B76" w:rsidRPr="00A110A4" w:rsidRDefault="00203B76" w:rsidP="00203B76">
      <w:pPr>
        <w:autoSpaceDE w:val="0"/>
        <w:autoSpaceDN w:val="0"/>
        <w:adjustRightInd w:val="0"/>
        <w:spacing w:before="120" w:after="120"/>
        <w:jc w:val="both"/>
        <w:rPr>
          <w:rFonts w:asciiTheme="minorHAnsi" w:hAnsiTheme="minorHAnsi" w:cstheme="minorHAnsi"/>
          <w:color w:val="FF0000"/>
        </w:rPr>
      </w:pPr>
    </w:p>
    <w:p w14:paraId="6F948A70" w14:textId="25A06266" w:rsidR="00ED32D0" w:rsidRPr="00A110A4" w:rsidRDefault="00ED32D0" w:rsidP="00203B76">
      <w:pPr>
        <w:autoSpaceDE w:val="0"/>
        <w:autoSpaceDN w:val="0"/>
        <w:adjustRightInd w:val="0"/>
        <w:spacing w:before="120" w:after="120"/>
        <w:jc w:val="both"/>
        <w:rPr>
          <w:rFonts w:asciiTheme="minorHAnsi" w:hAnsiTheme="minorHAnsi" w:cstheme="minorHAnsi"/>
        </w:rPr>
      </w:pPr>
      <w:proofErr w:type="gramStart"/>
      <w:r w:rsidRPr="00A110A4">
        <w:rPr>
          <w:rFonts w:asciiTheme="minorHAnsi" w:hAnsiTheme="minorHAnsi" w:cstheme="minorHAnsi"/>
          <w:color w:val="FF0000"/>
        </w:rPr>
        <w:t>.....</w:t>
      </w:r>
      <w:proofErr w:type="gramEnd"/>
      <w:r w:rsidRPr="00A110A4">
        <w:rPr>
          <w:rFonts w:asciiTheme="minorHAnsi" w:hAnsiTheme="minorHAnsi" w:cstheme="minorHAnsi"/>
          <w:color w:val="FF0000"/>
        </w:rPr>
        <w:t xml:space="preserve">, brasileiro (a), (estado civil), profissional da área de ....., portador (a) do CIRG n.º ..... e do CPF n.º </w:t>
      </w:r>
      <w:proofErr w:type="gramStart"/>
      <w:r w:rsidRPr="00A110A4">
        <w:rPr>
          <w:rFonts w:asciiTheme="minorHAnsi" w:hAnsiTheme="minorHAnsi" w:cstheme="minorHAnsi"/>
          <w:color w:val="FF0000"/>
        </w:rPr>
        <w:t>.....</w:t>
      </w:r>
      <w:proofErr w:type="gramEnd"/>
      <w:r w:rsidRPr="00A110A4">
        <w:rPr>
          <w:rFonts w:asciiTheme="minorHAnsi" w:hAnsiTheme="minorHAnsi" w:cstheme="minorHAnsi"/>
          <w:color w:val="FF0000"/>
        </w:rPr>
        <w:t xml:space="preserve">, residente e domiciliado (a) na Rua ....., n.º ....., Bairro ....., Cidade ....., Estado ....., </w:t>
      </w:r>
      <w:r w:rsidRPr="00A110A4">
        <w:rPr>
          <w:rFonts w:asciiTheme="minorHAnsi" w:hAnsiTheme="minorHAnsi" w:cstheme="minorHAnsi"/>
        </w:rPr>
        <w:t>vem respeitosamente perante V.Sa., através de seu advogado procurador que adiante assina, apresentar:</w:t>
      </w:r>
    </w:p>
    <w:p w14:paraId="308FEA97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</w:rPr>
      </w:pPr>
    </w:p>
    <w:p w14:paraId="1C277F18" w14:textId="18BF6465" w:rsidR="00ED32D0" w:rsidRPr="00A110A4" w:rsidRDefault="000933FF" w:rsidP="00203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jc w:val="center"/>
        <w:rPr>
          <w:rFonts w:asciiTheme="minorHAnsi" w:hAnsiTheme="minorHAnsi" w:cstheme="minorHAnsi"/>
          <w:b/>
          <w:color w:val="FF0000"/>
        </w:rPr>
      </w:pPr>
      <w:r w:rsidRPr="00A110A4">
        <w:rPr>
          <w:rFonts w:asciiTheme="minorHAnsi" w:hAnsiTheme="minorHAnsi" w:cstheme="minorHAnsi"/>
          <w:b/>
          <w:color w:val="FF0000"/>
        </w:rPr>
        <w:t>DEFESA PREVIA</w:t>
      </w:r>
    </w:p>
    <w:p w14:paraId="32438633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  <w:b/>
        </w:rPr>
      </w:pPr>
    </w:p>
    <w:p w14:paraId="63801B22" w14:textId="38A11063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>Com fulcro no artigo</w:t>
      </w:r>
      <w:r w:rsidR="000933FF" w:rsidRPr="00A110A4">
        <w:rPr>
          <w:rFonts w:asciiTheme="minorHAnsi" w:hAnsiTheme="minorHAnsi" w:cstheme="minorHAnsi"/>
        </w:rPr>
        <w:t xml:space="preserve"> 148-A</w:t>
      </w:r>
      <w:r w:rsidRPr="00A110A4">
        <w:rPr>
          <w:rFonts w:asciiTheme="minorHAnsi" w:hAnsiTheme="minorHAnsi" w:cstheme="minorHAnsi"/>
        </w:rPr>
        <w:t>, do Código de Trânsito Brasileiro</w:t>
      </w:r>
      <w:r w:rsidR="000933FF" w:rsidRPr="00A110A4">
        <w:rPr>
          <w:rFonts w:asciiTheme="minorHAnsi" w:hAnsiTheme="minorHAnsi" w:cstheme="minorHAnsi"/>
        </w:rPr>
        <w:t xml:space="preserve"> e Resolução 723</w:t>
      </w:r>
      <w:r w:rsidRPr="00A110A4">
        <w:rPr>
          <w:rFonts w:asciiTheme="minorHAnsi" w:hAnsiTheme="minorHAnsi" w:cstheme="minorHAnsi"/>
        </w:rPr>
        <w:t>, pelas razões em seguida expostas:</w:t>
      </w:r>
    </w:p>
    <w:p w14:paraId="449DC191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</w:rPr>
      </w:pPr>
    </w:p>
    <w:p w14:paraId="7317A5D3" w14:textId="77777777" w:rsidR="00ED32D0" w:rsidRPr="00A110A4" w:rsidRDefault="00ED32D0" w:rsidP="00203B76">
      <w:pPr>
        <w:pStyle w:val="PargrafodaLista"/>
        <w:numPr>
          <w:ilvl w:val="0"/>
          <w:numId w:val="4"/>
        </w:numPr>
        <w:spacing w:before="120" w:line="240" w:lineRule="auto"/>
        <w:contextualSpacing w:val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110A4">
        <w:rPr>
          <w:rFonts w:asciiTheme="minorHAnsi" w:hAnsiTheme="minorHAnsi" w:cstheme="minorHAnsi"/>
          <w:b/>
          <w:sz w:val="24"/>
          <w:szCs w:val="24"/>
        </w:rPr>
        <w:t>DOS FATOS</w:t>
      </w:r>
    </w:p>
    <w:p w14:paraId="6D417ACC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</w:rPr>
      </w:pPr>
    </w:p>
    <w:p w14:paraId="37E373F2" w14:textId="5BDDBF7F" w:rsidR="00BE118B" w:rsidRPr="00A110A4" w:rsidRDefault="00ED32D0" w:rsidP="000933FF">
      <w:pPr>
        <w:spacing w:before="120" w:after="120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 xml:space="preserve">O Requerente foi notificado da </w:t>
      </w:r>
      <w:r w:rsidR="000933FF" w:rsidRPr="00A110A4">
        <w:rPr>
          <w:rFonts w:asciiTheme="minorHAnsi" w:hAnsiTheme="minorHAnsi" w:cstheme="minorHAnsi"/>
        </w:rPr>
        <w:t>instauração de processo administrativo de suspensão do direito de dirigir por 3 (três), por ocasião de resultado positivo em exame toxicológico.</w:t>
      </w:r>
    </w:p>
    <w:p w14:paraId="28F50C18" w14:textId="3F5070CE" w:rsidR="000933FF" w:rsidRPr="00A110A4" w:rsidRDefault="000933FF" w:rsidP="000933FF">
      <w:pPr>
        <w:spacing w:before="120" w:after="120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>Contudo, não pode prevalecer o processo diante de sua ilegalidade.</w:t>
      </w:r>
    </w:p>
    <w:p w14:paraId="0284445E" w14:textId="69A49BF0" w:rsidR="000933FF" w:rsidRPr="00A110A4" w:rsidRDefault="000933FF" w:rsidP="000933FF">
      <w:pPr>
        <w:spacing w:before="120" w:after="120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>Isso porque, não há previsão no Código de Trânsito Brasileiro dessa modalidade de penalidade de suspensão do direito de dirigir e tão pouco a previsão dessa penalidade como medida administrativa, o que impede a continuidade desse processo.</w:t>
      </w:r>
    </w:p>
    <w:p w14:paraId="04FCEF05" w14:textId="77777777" w:rsidR="00C249E2" w:rsidRPr="00A110A4" w:rsidRDefault="00C249E2" w:rsidP="00203B76">
      <w:pPr>
        <w:spacing w:before="120" w:after="120"/>
        <w:jc w:val="both"/>
        <w:rPr>
          <w:rFonts w:asciiTheme="minorHAnsi" w:hAnsiTheme="minorHAnsi" w:cstheme="minorHAnsi"/>
        </w:rPr>
      </w:pPr>
    </w:p>
    <w:p w14:paraId="66908331" w14:textId="77777777" w:rsidR="00ED32D0" w:rsidRPr="00A110A4" w:rsidRDefault="00ED32D0" w:rsidP="00203B76">
      <w:pPr>
        <w:pStyle w:val="PargrafodaLista"/>
        <w:numPr>
          <w:ilvl w:val="0"/>
          <w:numId w:val="4"/>
        </w:numPr>
        <w:spacing w:before="120" w:line="240" w:lineRule="auto"/>
        <w:contextualSpacing w:val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110A4">
        <w:rPr>
          <w:rFonts w:asciiTheme="minorHAnsi" w:hAnsiTheme="minorHAnsi" w:cstheme="minorHAnsi"/>
          <w:b/>
          <w:sz w:val="24"/>
          <w:szCs w:val="24"/>
        </w:rPr>
        <w:t>DAS RAZÕES DE DIREITO</w:t>
      </w:r>
    </w:p>
    <w:p w14:paraId="5105E1F7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</w:rPr>
      </w:pPr>
    </w:p>
    <w:p w14:paraId="08ECF159" w14:textId="39E834AC" w:rsidR="00F761B8" w:rsidRPr="00A110A4" w:rsidRDefault="00F761B8" w:rsidP="00F761B8">
      <w:pPr>
        <w:spacing w:before="240" w:after="240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Toda aplicação de penalidade no Direito de Trânsito, seja ela de multa, suspensão ou cassação do documento de habilitação, pressupõe a existência de um processo administrativo que deve observar uma série de procedimentos estabelecidos entre os artigos 280 e 290, do Código de Trânsito Brasileiro.</w:t>
      </w:r>
    </w:p>
    <w:p w14:paraId="31789C39" w14:textId="780826D2" w:rsidR="006F464E" w:rsidRPr="00A110A4" w:rsidRDefault="000933FF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No processo de suspensão em apreço, isso não ocorre.</w:t>
      </w:r>
    </w:p>
    <w:p w14:paraId="6BC62D17" w14:textId="15556B8B" w:rsidR="000933FF" w:rsidRPr="00A110A4" w:rsidRDefault="000933FF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 xml:space="preserve">Primeiramente, a </w:t>
      </w:r>
      <w:r w:rsidRPr="0017286E">
        <w:rPr>
          <w:rFonts w:asciiTheme="minorHAnsi" w:hAnsiTheme="minorHAnsi" w:cstheme="minorHAnsi"/>
          <w:bCs/>
          <w:highlight w:val="yellow"/>
        </w:rPr>
        <w:t>suspensão</w:t>
      </w:r>
      <w:r w:rsidRPr="00A110A4">
        <w:rPr>
          <w:rFonts w:asciiTheme="minorHAnsi" w:hAnsiTheme="minorHAnsi" w:cstheme="minorHAnsi"/>
          <w:bCs/>
        </w:rPr>
        <w:t xml:space="preserve"> está sendo imposta sem o cometimento de uma infração de trânsito que a justifique.</w:t>
      </w:r>
    </w:p>
    <w:p w14:paraId="090B6208" w14:textId="5668F28D" w:rsidR="000933FF" w:rsidRPr="00A110A4" w:rsidRDefault="000933FF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lastRenderedPageBreak/>
        <w:t>Aliás, o exame positivo não encontra sequer tipificação legal como sendo uma infração de trânsito:</w:t>
      </w:r>
    </w:p>
    <w:p w14:paraId="62D62730" w14:textId="77777777" w:rsidR="000933FF" w:rsidRPr="0017286E" w:rsidRDefault="000933FF" w:rsidP="0017286E">
      <w:pPr>
        <w:ind w:left="1134"/>
        <w:jc w:val="both"/>
        <w:rPr>
          <w:rFonts w:asciiTheme="minorHAnsi" w:hAnsiTheme="minorHAnsi" w:cstheme="minorHAnsi"/>
          <w:i/>
          <w:iCs/>
        </w:rPr>
      </w:pPr>
      <w:bookmarkStart w:id="1" w:name="_Hlk64312108"/>
      <w:r w:rsidRPr="0017286E">
        <w:rPr>
          <w:rFonts w:asciiTheme="minorHAnsi" w:hAnsiTheme="minorHAnsi" w:cstheme="minorHAnsi"/>
          <w:i/>
          <w:iCs/>
        </w:rPr>
        <w:t>Art. 165-B.  Conduzir veículo para o qual seja exigida habilitação nas categorias C, D ou E sem realizar o exame toxicológico previsto no § 2º do art. 148-A deste Código, após 30 (trinta) dias do vencimento do prazo estabelecido:</w:t>
      </w:r>
    </w:p>
    <w:p w14:paraId="4CAA5958" w14:textId="77777777" w:rsidR="000933FF" w:rsidRPr="0017286E" w:rsidRDefault="000933FF" w:rsidP="0017286E">
      <w:pPr>
        <w:ind w:left="1134"/>
        <w:jc w:val="both"/>
        <w:rPr>
          <w:rFonts w:asciiTheme="minorHAnsi" w:hAnsiTheme="minorHAnsi" w:cstheme="minorHAnsi"/>
          <w:i/>
          <w:iCs/>
        </w:rPr>
      </w:pPr>
      <w:r w:rsidRPr="0017286E">
        <w:rPr>
          <w:rFonts w:asciiTheme="minorHAnsi" w:hAnsiTheme="minorHAnsi" w:cstheme="minorHAnsi"/>
          <w:i/>
          <w:iCs/>
        </w:rPr>
        <w:t>Infração - gravíssima;</w:t>
      </w:r>
    </w:p>
    <w:p w14:paraId="3E3256F1" w14:textId="77777777" w:rsidR="000933FF" w:rsidRPr="0017286E" w:rsidRDefault="000933FF" w:rsidP="0017286E">
      <w:pPr>
        <w:ind w:left="1134"/>
        <w:jc w:val="both"/>
        <w:rPr>
          <w:rFonts w:asciiTheme="minorHAnsi" w:hAnsiTheme="minorHAnsi" w:cstheme="minorHAnsi"/>
          <w:i/>
          <w:iCs/>
        </w:rPr>
      </w:pPr>
      <w:r w:rsidRPr="0017286E">
        <w:rPr>
          <w:rFonts w:asciiTheme="minorHAnsi" w:hAnsiTheme="minorHAnsi" w:cstheme="minorHAnsi"/>
          <w:i/>
          <w:iCs/>
        </w:rPr>
        <w:t xml:space="preserve">Penalidade - multa (cinco vezes) e suspensão do direito de dirigir por 3 (três) meses, condicionado o levantamento da suspensão à inclusão no </w:t>
      </w:r>
      <w:proofErr w:type="spellStart"/>
      <w:r w:rsidRPr="0017286E">
        <w:rPr>
          <w:rFonts w:asciiTheme="minorHAnsi" w:hAnsiTheme="minorHAnsi" w:cstheme="minorHAnsi"/>
          <w:i/>
          <w:iCs/>
        </w:rPr>
        <w:t>Renach</w:t>
      </w:r>
      <w:proofErr w:type="spellEnd"/>
      <w:r w:rsidRPr="0017286E">
        <w:rPr>
          <w:rFonts w:asciiTheme="minorHAnsi" w:hAnsiTheme="minorHAnsi" w:cstheme="minorHAnsi"/>
          <w:i/>
          <w:iCs/>
        </w:rPr>
        <w:t xml:space="preserve"> de resultado negativo em novo exame.</w:t>
      </w:r>
    </w:p>
    <w:p w14:paraId="2C3E2A74" w14:textId="77777777" w:rsidR="000933FF" w:rsidRPr="0017286E" w:rsidRDefault="000933FF" w:rsidP="0017286E">
      <w:pPr>
        <w:ind w:left="1134"/>
        <w:jc w:val="both"/>
        <w:rPr>
          <w:rFonts w:asciiTheme="minorHAnsi" w:hAnsiTheme="minorHAnsi" w:cstheme="minorHAnsi"/>
          <w:i/>
          <w:iCs/>
        </w:rPr>
      </w:pPr>
      <w:r w:rsidRPr="0017286E">
        <w:rPr>
          <w:rFonts w:asciiTheme="minorHAnsi" w:hAnsiTheme="minorHAnsi" w:cstheme="minorHAnsi"/>
          <w:i/>
          <w:iCs/>
        </w:rPr>
        <w:t>Parágrafo único. Incorre na mesma penalidade o condutor que exerce atividade remunerada ao veículo e não comprova a realização de exame toxicológico periódico exigido pelo § 2º do art. 148-A deste Código por ocasião da renovação do documento de habilitação nas categorias C, D ou E.”</w:t>
      </w:r>
      <w:hyperlink r:id="rId8" w:anchor="art2" w:history="1"/>
      <w:r w:rsidRPr="0017286E">
        <w:rPr>
          <w:rFonts w:asciiTheme="minorHAnsi" w:hAnsiTheme="minorHAnsi" w:cstheme="minorHAnsi"/>
          <w:i/>
          <w:iCs/>
        </w:rPr>
        <w:t>   </w:t>
      </w:r>
      <w:bookmarkEnd w:id="1"/>
      <w:r w:rsidRPr="0017286E">
        <w:rPr>
          <w:rFonts w:asciiTheme="minorHAnsi" w:hAnsiTheme="minorHAnsi" w:cstheme="minorHAnsi"/>
          <w:i/>
          <w:iCs/>
        </w:rPr>
        <w:t>   </w:t>
      </w:r>
      <w:hyperlink r:id="rId9" w:anchor="art7" w:history="1"/>
    </w:p>
    <w:p w14:paraId="132DE5D0" w14:textId="50DC5A8C" w:rsidR="000933FF" w:rsidRPr="00A110A4" w:rsidRDefault="000933FF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O artigo 165-B é o único que traz, de forma questionável, a infração de trânsito por exame toxicológico.</w:t>
      </w:r>
    </w:p>
    <w:p w14:paraId="308A82CE" w14:textId="26E7F506" w:rsidR="000933FF" w:rsidRPr="00A110A4" w:rsidRDefault="000933FF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Entretanto, o artigo se limita a tipificar a conduta de conduzir veículo sem realizar o exame após o seu vencimento ou de não comprovar a realização por ocasião da renovação da CNH.</w:t>
      </w:r>
    </w:p>
    <w:p w14:paraId="2BAFB568" w14:textId="597A4624" w:rsidR="000933FF" w:rsidRPr="00A110A4" w:rsidRDefault="000933FF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Não remete ao resultado positivo do exame.</w:t>
      </w:r>
    </w:p>
    <w:p w14:paraId="42E1A965" w14:textId="117BC718" w:rsidR="000933FF" w:rsidRPr="00A110A4" w:rsidRDefault="00E25F92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Logo, a suspensão ora debatida não pode ser classificada como sendo uma penalidade de trânsito, posto que não segue o processo administrativo exigido para a instauração da suspensão do direito de dirigir por pontos ou por infração específica, conquanto não está relacionada a uma infração de trânsito.</w:t>
      </w:r>
    </w:p>
    <w:p w14:paraId="5491ACA0" w14:textId="51351393" w:rsidR="00E25F92" w:rsidRPr="00A110A4" w:rsidRDefault="00E25F92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De outro vértice, também não há a previsão dessa modalidade de suspensão por resultado positivo em exame toxicológico no artigo 261, do Código de Trânsito Brasileiro:</w:t>
      </w:r>
    </w:p>
    <w:p w14:paraId="4E5D8B42" w14:textId="77777777" w:rsidR="00E25F92" w:rsidRPr="00A110A4" w:rsidRDefault="00E25F92" w:rsidP="00E25F92">
      <w:pPr>
        <w:spacing w:before="100" w:beforeAutospacing="1" w:after="100" w:afterAutospacing="1"/>
        <w:ind w:left="1134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>Art. 261.  A penalidade de suspensão do direito de dirigir será imposta nos seguintes casos:  </w:t>
      </w:r>
      <w:hyperlink r:id="rId10" w:anchor="art1" w:history="1"/>
      <w:r w:rsidRPr="00A110A4">
        <w:rPr>
          <w:rFonts w:asciiTheme="minorHAnsi" w:hAnsiTheme="minorHAnsi" w:cstheme="minorHAnsi"/>
        </w:rPr>
        <w:t>      </w:t>
      </w:r>
      <w:hyperlink r:id="rId11" w:anchor="art7" w:history="1"/>
    </w:p>
    <w:p w14:paraId="220BE761" w14:textId="77777777" w:rsidR="00E25F92" w:rsidRPr="00A110A4" w:rsidRDefault="00E25F92" w:rsidP="00E25F92">
      <w:pPr>
        <w:spacing w:before="225" w:after="225"/>
        <w:ind w:left="1134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 xml:space="preserve">I - </w:t>
      </w:r>
      <w:proofErr w:type="gramStart"/>
      <w:r w:rsidRPr="00A110A4">
        <w:rPr>
          <w:rFonts w:asciiTheme="minorHAnsi" w:hAnsiTheme="minorHAnsi" w:cstheme="minorHAnsi"/>
        </w:rPr>
        <w:t>sempre</w:t>
      </w:r>
      <w:proofErr w:type="gramEnd"/>
      <w:r w:rsidRPr="00A110A4">
        <w:rPr>
          <w:rFonts w:asciiTheme="minorHAnsi" w:hAnsiTheme="minorHAnsi" w:cstheme="minorHAnsi"/>
        </w:rPr>
        <w:t xml:space="preserve"> que, conforme a pontuação prevista no art. 259 deste Código, o infrator atingir, no período de 12 (doze) meses, a seguinte contagem de pontos:</w:t>
      </w:r>
    </w:p>
    <w:p w14:paraId="3DB83E0B" w14:textId="77777777" w:rsidR="00E25F92" w:rsidRPr="00A110A4" w:rsidRDefault="00E25F92" w:rsidP="00E25F92">
      <w:pPr>
        <w:spacing w:before="225" w:after="225"/>
        <w:ind w:left="1134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>a)  20 (vinte) pontos, caso constem 2 (duas) ou mais infrações gravíssimas na pontuação;</w:t>
      </w:r>
    </w:p>
    <w:p w14:paraId="6031029D" w14:textId="77777777" w:rsidR="00E25F92" w:rsidRPr="00A110A4" w:rsidRDefault="00E25F92" w:rsidP="00E25F92">
      <w:pPr>
        <w:spacing w:before="225" w:after="225"/>
        <w:ind w:left="1134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>b)  30 (trinta) pontos, caso conste 1 (uma) infração gravíssima na pontuação;</w:t>
      </w:r>
    </w:p>
    <w:p w14:paraId="533E19F9" w14:textId="77777777" w:rsidR="00E25F92" w:rsidRPr="00A110A4" w:rsidRDefault="00E25F92" w:rsidP="00E25F92">
      <w:pPr>
        <w:spacing w:before="100" w:beforeAutospacing="1" w:after="100" w:afterAutospacing="1"/>
        <w:ind w:left="1134"/>
        <w:jc w:val="both"/>
        <w:rPr>
          <w:rFonts w:asciiTheme="minorHAnsi" w:hAnsiTheme="minorHAnsi" w:cstheme="minorHAnsi"/>
          <w:strike/>
        </w:rPr>
      </w:pPr>
      <w:r w:rsidRPr="00A110A4">
        <w:rPr>
          <w:rFonts w:asciiTheme="minorHAnsi" w:hAnsiTheme="minorHAnsi" w:cstheme="minorHAnsi"/>
        </w:rPr>
        <w:lastRenderedPageBreak/>
        <w:t>c)  40 (quarenta) pontos, caso não conste nenhuma infração gravíssima na pontuação;</w:t>
      </w:r>
      <w:hyperlink r:id="rId12" w:anchor="art7" w:history="1"/>
    </w:p>
    <w:p w14:paraId="7C3CCC0F" w14:textId="1077569A" w:rsidR="00E25F92" w:rsidRPr="00A110A4" w:rsidRDefault="00E25F92" w:rsidP="00E25F92">
      <w:pPr>
        <w:spacing w:before="100" w:beforeAutospacing="1" w:after="100" w:afterAutospacing="1"/>
        <w:ind w:left="1134"/>
        <w:jc w:val="both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</w:rPr>
        <w:t xml:space="preserve">II - </w:t>
      </w:r>
      <w:proofErr w:type="gramStart"/>
      <w:r w:rsidRPr="00A110A4">
        <w:rPr>
          <w:rFonts w:asciiTheme="minorHAnsi" w:hAnsiTheme="minorHAnsi" w:cstheme="minorHAnsi"/>
        </w:rPr>
        <w:t>por</w:t>
      </w:r>
      <w:proofErr w:type="gramEnd"/>
      <w:r w:rsidRPr="00A110A4">
        <w:rPr>
          <w:rFonts w:asciiTheme="minorHAnsi" w:hAnsiTheme="minorHAnsi" w:cstheme="minorHAnsi"/>
        </w:rPr>
        <w:t xml:space="preserve"> transgressão às normas estabelecidas neste Código, cujas infrações preveem, de forma específica, a penalidade de suspensão do direito de dirigir.  </w:t>
      </w:r>
      <w:hyperlink r:id="rId13" w:anchor="art1" w:history="1"/>
      <w:r w:rsidRPr="00A110A4">
        <w:rPr>
          <w:rFonts w:asciiTheme="minorHAnsi" w:hAnsiTheme="minorHAnsi" w:cstheme="minorHAnsi"/>
        </w:rPr>
        <w:t> </w:t>
      </w:r>
    </w:p>
    <w:p w14:paraId="7F2D595B" w14:textId="4A0D13A2" w:rsidR="00E25F92" w:rsidRPr="00A110A4" w:rsidRDefault="00E25F92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O artigo supra é taxativo em relação aos casos que geram a suspensão do direito de dirigir, sendo por acumulo de pontos ou quando a infração trouxer a previsão de forma específica.</w:t>
      </w:r>
    </w:p>
    <w:p w14:paraId="72B7007F" w14:textId="7093D19D" w:rsidR="00E25F92" w:rsidRPr="00A110A4" w:rsidRDefault="00E25F92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Ocorre que, como já dito anteriormente, a suspensão por resultado positivo em exame toxicológico não está relacionada a uma autuação por infração de trânsito, logo, não há qualquer possibilidade de ser enquadrada nas situações previstas no artigo 261.</w:t>
      </w:r>
    </w:p>
    <w:p w14:paraId="2C0FA048" w14:textId="0FE516BD" w:rsidR="000933FF" w:rsidRPr="00A110A4" w:rsidRDefault="00E25F92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A110A4">
        <w:rPr>
          <w:rFonts w:asciiTheme="minorHAnsi" w:hAnsiTheme="minorHAnsi" w:cstheme="minorHAnsi"/>
          <w:bCs/>
        </w:rPr>
        <w:t xml:space="preserve">Não foi gerada por acúmulo de pontos, não foi gerada por infração específica. Sequer está vinculada à condução do veículo sob efeito de substâncias análogas, já que não há a demonstração da data e horário em que a pessoa fez uso das substâncias. </w:t>
      </w:r>
      <w:r w:rsidRPr="00A110A4">
        <w:rPr>
          <w:rFonts w:asciiTheme="minorHAnsi" w:hAnsiTheme="minorHAnsi" w:cstheme="minorHAnsi"/>
          <w:color w:val="000000"/>
        </w:rPr>
        <w:t>Aliás, a suspensão é pelo resultado positivo, ainda que a pessoa não tenha conduzido veículo nos últimos 90 (noventa) dias que antecederam o teste.</w:t>
      </w:r>
    </w:p>
    <w:p w14:paraId="5AA5DA59" w14:textId="3AEFF7BA" w:rsidR="00E25F92" w:rsidRPr="00A110A4" w:rsidRDefault="00E25F92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A110A4">
        <w:rPr>
          <w:rFonts w:asciiTheme="minorHAnsi" w:hAnsiTheme="minorHAnsi" w:cstheme="minorHAnsi"/>
          <w:color w:val="000000"/>
        </w:rPr>
        <w:t>Não há, como se vê, qualquer sustentação jurídica para a manutenção da penalidade.</w:t>
      </w:r>
    </w:p>
    <w:p w14:paraId="22FF7FF3" w14:textId="4D29A508" w:rsidR="00C312C1" w:rsidRPr="00A110A4" w:rsidRDefault="00C312C1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A110A4">
        <w:rPr>
          <w:rFonts w:asciiTheme="minorHAnsi" w:hAnsiTheme="minorHAnsi" w:cstheme="minorHAnsi"/>
          <w:color w:val="000000"/>
        </w:rPr>
        <w:t>Ademais, o artigo 148-A traz o procedimento administrativo de recurso sem efeito suspensivo, ignorando o artigo 265, do mesmo diploma, que diz:</w:t>
      </w:r>
    </w:p>
    <w:p w14:paraId="44C39912" w14:textId="77777777" w:rsidR="00C312C1" w:rsidRPr="00A110A4" w:rsidRDefault="00C312C1" w:rsidP="00C312C1">
      <w:pPr>
        <w:spacing w:before="100" w:beforeAutospacing="1" w:after="100" w:afterAutospacing="1"/>
        <w:ind w:left="1134"/>
        <w:jc w:val="both"/>
        <w:rPr>
          <w:rFonts w:asciiTheme="minorHAnsi" w:hAnsiTheme="minorHAnsi" w:cstheme="minorHAnsi"/>
          <w:color w:val="000000"/>
        </w:rPr>
      </w:pPr>
      <w:r w:rsidRPr="0017286E">
        <w:rPr>
          <w:rFonts w:asciiTheme="minorHAnsi" w:hAnsiTheme="minorHAnsi" w:cstheme="minorHAnsi"/>
          <w:i/>
          <w:iCs/>
          <w:color w:val="000000"/>
        </w:rPr>
        <w:t>Art. 265. As penalidades de suspensão do direito de dirigir e de cassação do documento de habilitação serão aplicadas por decisão fundamentada da autoridade de trânsito competente, em processo administrativo, assegurado ao infrator amplo direito de defesa</w:t>
      </w:r>
      <w:r w:rsidRPr="00A110A4">
        <w:rPr>
          <w:rFonts w:asciiTheme="minorHAnsi" w:hAnsiTheme="minorHAnsi" w:cstheme="minorHAnsi"/>
          <w:color w:val="000000"/>
        </w:rPr>
        <w:t>.</w:t>
      </w:r>
    </w:p>
    <w:p w14:paraId="51AD0FBA" w14:textId="718159F6" w:rsidR="00C312C1" w:rsidRPr="00A110A4" w:rsidRDefault="00C312C1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A110A4">
        <w:rPr>
          <w:rFonts w:asciiTheme="minorHAnsi" w:hAnsiTheme="minorHAnsi" w:cstheme="minorHAnsi"/>
          <w:color w:val="000000"/>
        </w:rPr>
        <w:t>Se é assegurado ao infrator o amplo direito de defesa e se predomina no ordenamento jurídico brasileiro o princípio da inocência, não há que se falar em aplicar uma penalidade de forma direta ao prontuário do condutor.</w:t>
      </w:r>
    </w:p>
    <w:p w14:paraId="0A65387E" w14:textId="1C189CD3" w:rsidR="00C312C1" w:rsidRPr="00A110A4" w:rsidRDefault="00C312C1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A110A4">
        <w:rPr>
          <w:rFonts w:asciiTheme="minorHAnsi" w:hAnsiTheme="minorHAnsi" w:cstheme="minorHAnsi"/>
          <w:color w:val="000000"/>
        </w:rPr>
        <w:t>Aliás, essa afronta ao princípio da inocência vai de encontro também ao principio da legalidade, já que o artigo 290 impede a aplicação de qualquer penalidade antes de esgotadas todas as possibilidades de recurso:</w:t>
      </w:r>
    </w:p>
    <w:p w14:paraId="22F361BD" w14:textId="77777777" w:rsidR="00C312C1" w:rsidRPr="0017286E" w:rsidRDefault="00C312C1" w:rsidP="0017286E">
      <w:pPr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Art. 290. Implicam encerramento da instância administrativa de julgamento de infrações e penalidades:  </w:t>
      </w:r>
      <w:hyperlink r:id="rId14" w:anchor="art2" w:history="1"/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      </w:t>
      </w:r>
      <w:hyperlink r:id="rId15" w:anchor="art7" w:history="1"/>
    </w:p>
    <w:p w14:paraId="6DF95989" w14:textId="77777777" w:rsidR="00C312C1" w:rsidRPr="0017286E" w:rsidRDefault="00C312C1" w:rsidP="0017286E">
      <w:pPr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I - </w:t>
      </w:r>
      <w:proofErr w:type="gramStart"/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o</w:t>
      </w:r>
      <w:proofErr w:type="gramEnd"/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julgamento do recurso de que tratam os arts. 288 e 289;  </w:t>
      </w:r>
      <w:hyperlink r:id="rId16" w:anchor="art2" w:history="1"/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      </w:t>
      </w:r>
      <w:hyperlink r:id="rId17" w:anchor="art7" w:history="1"/>
    </w:p>
    <w:p w14:paraId="11ECE0B9" w14:textId="77777777" w:rsidR="00C312C1" w:rsidRPr="0017286E" w:rsidRDefault="00C312C1" w:rsidP="0017286E">
      <w:pPr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II - a não interposição do recurso no prazo legal; e  </w:t>
      </w:r>
      <w:hyperlink r:id="rId18" w:anchor="art2" w:history="1"/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      </w:t>
      </w:r>
      <w:hyperlink r:id="rId19" w:anchor="art7" w:history="1"/>
    </w:p>
    <w:p w14:paraId="4775C7BD" w14:textId="77777777" w:rsidR="00C312C1" w:rsidRPr="0017286E" w:rsidRDefault="00C312C1" w:rsidP="0017286E">
      <w:pPr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III - o pagamento da multa, com reconhecimento da infração e requerimento de encerramento do processo na fase em que se encontra, sem apresentação de defesa ou recurso.  </w:t>
      </w:r>
      <w:hyperlink r:id="rId20" w:anchor="art2" w:history="1"/>
      <w:r w:rsidRPr="001728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  </w:t>
      </w:r>
      <w:hyperlink r:id="rId21" w:anchor="art7" w:history="1"/>
    </w:p>
    <w:p w14:paraId="0C7C6FC9" w14:textId="77777777" w:rsidR="00C312C1" w:rsidRPr="0017286E" w:rsidRDefault="00C312C1" w:rsidP="0017286E">
      <w:pPr>
        <w:ind w:left="1134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17286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Parágrafo único. Esgotados os recursos, as penalidades aplicadas nos termos deste Código serão cadastradas no RENACH.</w:t>
      </w:r>
    </w:p>
    <w:p w14:paraId="77451DAB" w14:textId="5DDEC74F" w:rsidR="00C312C1" w:rsidRPr="00A110A4" w:rsidRDefault="00C312C1" w:rsidP="00512757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A110A4">
        <w:rPr>
          <w:rFonts w:asciiTheme="minorHAnsi" w:hAnsiTheme="minorHAnsi" w:cstheme="minorHAnsi"/>
          <w:color w:val="000000"/>
        </w:rPr>
        <w:lastRenderedPageBreak/>
        <w:t>De qualquer ângulo que se analise o processo administrativo instaurado, padece de nulidade e deve ser cancelado, sob pena de causar danos irreparáveis ao Recorrente, como a impossibilidade de exercer o direito constitucional ao trabalho, já que exerce atividade remunerada ao veículo.</w:t>
      </w:r>
    </w:p>
    <w:p w14:paraId="7B8C9108" w14:textId="77777777" w:rsidR="00ED32D0" w:rsidRPr="00A110A4" w:rsidRDefault="00ED32D0" w:rsidP="00203B76">
      <w:pPr>
        <w:pStyle w:val="PargrafodaLista"/>
        <w:numPr>
          <w:ilvl w:val="0"/>
          <w:numId w:val="5"/>
        </w:numPr>
        <w:spacing w:before="120" w:line="240" w:lineRule="auto"/>
        <w:contextualSpacing w:val="0"/>
        <w:jc w:val="both"/>
        <w:rPr>
          <w:rFonts w:asciiTheme="minorHAnsi" w:hAnsiTheme="minorHAnsi" w:cstheme="minorHAnsi"/>
          <w:b/>
          <w:i/>
          <w:sz w:val="24"/>
          <w:szCs w:val="24"/>
        </w:rPr>
      </w:pPr>
      <w:r w:rsidRPr="00A110A4">
        <w:rPr>
          <w:rFonts w:asciiTheme="minorHAnsi" w:hAnsiTheme="minorHAnsi" w:cstheme="minorHAnsi"/>
          <w:b/>
          <w:i/>
          <w:sz w:val="24"/>
          <w:szCs w:val="24"/>
        </w:rPr>
        <w:t>DOS PEDIDOS</w:t>
      </w:r>
    </w:p>
    <w:p w14:paraId="5AA4D145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  <w:b/>
        </w:rPr>
      </w:pPr>
    </w:p>
    <w:p w14:paraId="7FFD3D86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  <w:bCs/>
        </w:rPr>
      </w:pPr>
      <w:r w:rsidRPr="00A110A4">
        <w:rPr>
          <w:rFonts w:asciiTheme="minorHAnsi" w:hAnsiTheme="minorHAnsi" w:cstheme="minorHAnsi"/>
          <w:bCs/>
        </w:rPr>
        <w:t>Ante ao exposto, requer:</w:t>
      </w:r>
    </w:p>
    <w:p w14:paraId="312E2861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  <w:bCs/>
        </w:rPr>
      </w:pPr>
    </w:p>
    <w:p w14:paraId="52CFDDE4" w14:textId="30FFC630" w:rsidR="00ED32D0" w:rsidRPr="00A110A4" w:rsidRDefault="00ED32D0" w:rsidP="00203B76">
      <w:pPr>
        <w:pStyle w:val="PargrafodaLista"/>
        <w:numPr>
          <w:ilvl w:val="0"/>
          <w:numId w:val="6"/>
        </w:numPr>
        <w:spacing w:before="120" w:line="240" w:lineRule="auto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A110A4">
        <w:rPr>
          <w:rFonts w:asciiTheme="minorHAnsi" w:hAnsiTheme="minorHAnsi" w:cstheme="minorHAnsi"/>
          <w:bCs/>
          <w:sz w:val="24"/>
          <w:szCs w:val="24"/>
        </w:rPr>
        <w:t xml:space="preserve">Seja declarada a </w:t>
      </w:r>
      <w:r w:rsidR="00C312C1" w:rsidRPr="00A110A4">
        <w:rPr>
          <w:rFonts w:asciiTheme="minorHAnsi" w:hAnsiTheme="minorHAnsi" w:cstheme="minorHAnsi"/>
          <w:bCs/>
          <w:sz w:val="24"/>
          <w:szCs w:val="24"/>
        </w:rPr>
        <w:t>atipicidade do processo de suspensão em tela</w:t>
      </w:r>
      <w:r w:rsidRPr="00A110A4">
        <w:rPr>
          <w:rFonts w:asciiTheme="minorHAnsi" w:hAnsiTheme="minorHAnsi" w:cstheme="minorHAnsi"/>
          <w:bCs/>
          <w:sz w:val="24"/>
          <w:szCs w:val="24"/>
        </w:rPr>
        <w:t>;</w:t>
      </w:r>
    </w:p>
    <w:p w14:paraId="532516D2" w14:textId="7D6B9974" w:rsidR="00ED32D0" w:rsidRPr="00A110A4" w:rsidRDefault="00ED32D0" w:rsidP="00203B76">
      <w:pPr>
        <w:pStyle w:val="PargrafodaLista"/>
        <w:numPr>
          <w:ilvl w:val="0"/>
          <w:numId w:val="6"/>
        </w:numPr>
        <w:spacing w:before="120" w:line="240" w:lineRule="auto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A110A4">
        <w:rPr>
          <w:rFonts w:asciiTheme="minorHAnsi" w:hAnsiTheme="minorHAnsi" w:cstheme="minorHAnsi"/>
          <w:bCs/>
          <w:sz w:val="24"/>
          <w:szCs w:val="24"/>
        </w:rPr>
        <w:t>Seja declarad</w:t>
      </w:r>
      <w:r w:rsidR="007E5A46" w:rsidRPr="00A110A4">
        <w:rPr>
          <w:rFonts w:asciiTheme="minorHAnsi" w:hAnsiTheme="minorHAnsi" w:cstheme="minorHAnsi"/>
          <w:bCs/>
          <w:sz w:val="24"/>
          <w:szCs w:val="24"/>
        </w:rPr>
        <w:t>a</w:t>
      </w:r>
      <w:r w:rsidRPr="00A110A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101157" w:rsidRPr="00A110A4">
        <w:rPr>
          <w:rFonts w:asciiTheme="minorHAnsi" w:hAnsiTheme="minorHAnsi" w:cstheme="minorHAnsi"/>
          <w:bCs/>
          <w:sz w:val="24"/>
          <w:szCs w:val="24"/>
        </w:rPr>
        <w:t xml:space="preserve">a </w:t>
      </w:r>
      <w:r w:rsidR="00C312C1" w:rsidRPr="00A110A4">
        <w:rPr>
          <w:rFonts w:asciiTheme="minorHAnsi" w:hAnsiTheme="minorHAnsi" w:cstheme="minorHAnsi"/>
          <w:bCs/>
          <w:sz w:val="24"/>
          <w:szCs w:val="24"/>
        </w:rPr>
        <w:t>inconsistência do processo, diante da violação aos dispositivos legais apontados, especialmente ao artigo 265 e 290, ambos do Código de Trânsito Brasileiro;</w:t>
      </w:r>
    </w:p>
    <w:p w14:paraId="50E94F4E" w14:textId="13C81FC8" w:rsidR="00ED32D0" w:rsidRPr="00A110A4" w:rsidRDefault="00ED32D0" w:rsidP="00203B76">
      <w:pPr>
        <w:pStyle w:val="PargrafodaLista"/>
        <w:numPr>
          <w:ilvl w:val="0"/>
          <w:numId w:val="6"/>
        </w:numPr>
        <w:spacing w:before="120" w:line="240" w:lineRule="auto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A110A4">
        <w:rPr>
          <w:rFonts w:asciiTheme="minorHAnsi" w:hAnsiTheme="minorHAnsi" w:cstheme="minorHAnsi"/>
          <w:bCs/>
          <w:sz w:val="24"/>
          <w:szCs w:val="24"/>
        </w:rPr>
        <w:t xml:space="preserve">Seja </w:t>
      </w:r>
      <w:r w:rsidR="00C312C1" w:rsidRPr="00A110A4">
        <w:rPr>
          <w:rFonts w:asciiTheme="minorHAnsi" w:hAnsiTheme="minorHAnsi" w:cstheme="minorHAnsi"/>
          <w:bCs/>
          <w:sz w:val="24"/>
          <w:szCs w:val="24"/>
        </w:rPr>
        <w:t>arquivado o processo de suspensão do direito de dirigir;</w:t>
      </w:r>
    </w:p>
    <w:p w14:paraId="21943516" w14:textId="681E890A" w:rsidR="00ED32D0" w:rsidRPr="00A110A4" w:rsidRDefault="00ED32D0" w:rsidP="00203B76">
      <w:pPr>
        <w:pStyle w:val="PargrafodaLista"/>
        <w:numPr>
          <w:ilvl w:val="0"/>
          <w:numId w:val="6"/>
        </w:numPr>
        <w:spacing w:before="120" w:line="240" w:lineRule="auto"/>
        <w:contextualSpacing w:val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A110A4">
        <w:rPr>
          <w:rFonts w:asciiTheme="minorHAnsi" w:hAnsiTheme="minorHAnsi" w:cstheme="minorHAnsi"/>
          <w:bCs/>
          <w:sz w:val="24"/>
          <w:szCs w:val="24"/>
        </w:rPr>
        <w:t xml:space="preserve">Seja </w:t>
      </w:r>
      <w:r w:rsidR="00C312C1" w:rsidRPr="00A110A4">
        <w:rPr>
          <w:rFonts w:asciiTheme="minorHAnsi" w:hAnsiTheme="minorHAnsi" w:cstheme="minorHAnsi"/>
          <w:bCs/>
          <w:sz w:val="24"/>
          <w:szCs w:val="24"/>
        </w:rPr>
        <w:t>retirada a restrição de seu prontuário</w:t>
      </w:r>
      <w:r w:rsidRPr="00A110A4">
        <w:rPr>
          <w:rFonts w:asciiTheme="minorHAnsi" w:hAnsiTheme="minorHAnsi" w:cstheme="minorHAnsi"/>
          <w:bCs/>
          <w:sz w:val="24"/>
          <w:szCs w:val="24"/>
        </w:rPr>
        <w:t>.</w:t>
      </w:r>
    </w:p>
    <w:p w14:paraId="5E2752A2" w14:textId="77777777" w:rsidR="00512757" w:rsidRPr="00A110A4" w:rsidRDefault="00512757" w:rsidP="00203B76">
      <w:pPr>
        <w:spacing w:before="120" w:after="120"/>
        <w:jc w:val="both"/>
        <w:rPr>
          <w:rFonts w:asciiTheme="minorHAnsi" w:hAnsiTheme="minorHAnsi" w:cstheme="minorHAnsi"/>
          <w:bCs/>
        </w:rPr>
      </w:pPr>
    </w:p>
    <w:bookmarkEnd w:id="0"/>
    <w:p w14:paraId="1E854CD4" w14:textId="5E4B7C77" w:rsidR="00512757" w:rsidRPr="00A110A4" w:rsidRDefault="00512757" w:rsidP="00A110A4">
      <w:pPr>
        <w:pStyle w:val="PargrafodaLista"/>
        <w:spacing w:before="240" w:after="240"/>
        <w:ind w:left="0"/>
        <w:contextualSpacing w:val="0"/>
        <w:jc w:val="center"/>
        <w:rPr>
          <w:rFonts w:asciiTheme="minorHAnsi" w:hAnsiTheme="minorHAnsi" w:cstheme="minorHAnsi"/>
          <w:sz w:val="24"/>
          <w:szCs w:val="24"/>
        </w:rPr>
      </w:pPr>
      <w:r w:rsidRPr="00A110A4">
        <w:rPr>
          <w:rFonts w:asciiTheme="minorHAnsi" w:hAnsiTheme="minorHAnsi" w:cstheme="minorHAnsi"/>
          <w:bCs/>
          <w:sz w:val="24"/>
          <w:szCs w:val="24"/>
        </w:rPr>
        <w:t>Termos nos quais, pede deferimento.</w:t>
      </w:r>
    </w:p>
    <w:p w14:paraId="7AE1354F" w14:textId="1E46FDDE" w:rsidR="00512757" w:rsidRPr="00A110A4" w:rsidRDefault="00512757" w:rsidP="00A110A4">
      <w:pPr>
        <w:spacing w:before="240" w:after="240"/>
        <w:jc w:val="center"/>
        <w:rPr>
          <w:rFonts w:asciiTheme="minorHAnsi" w:hAnsiTheme="minorHAnsi" w:cstheme="minorHAnsi"/>
          <w:color w:val="FF0000"/>
        </w:rPr>
      </w:pPr>
      <w:r w:rsidRPr="00A110A4">
        <w:rPr>
          <w:rFonts w:asciiTheme="minorHAnsi" w:hAnsiTheme="minorHAnsi" w:cstheme="minorHAnsi"/>
          <w:color w:val="FF0000"/>
        </w:rPr>
        <w:t>Cidade, dia mês e ano.</w:t>
      </w:r>
    </w:p>
    <w:p w14:paraId="2CC6FECD" w14:textId="77777777" w:rsidR="00512757" w:rsidRPr="00A110A4" w:rsidRDefault="00512757" w:rsidP="00A110A4">
      <w:pPr>
        <w:spacing w:before="240" w:after="240"/>
        <w:jc w:val="center"/>
        <w:rPr>
          <w:rFonts w:asciiTheme="minorHAnsi" w:hAnsiTheme="minorHAnsi" w:cstheme="minorHAnsi"/>
          <w:b/>
          <w:bCs/>
          <w:color w:val="FF0000"/>
        </w:rPr>
      </w:pPr>
    </w:p>
    <w:p w14:paraId="6929D5E9" w14:textId="77777777" w:rsidR="00512757" w:rsidRPr="00A110A4" w:rsidRDefault="00512757" w:rsidP="00A110A4">
      <w:pPr>
        <w:spacing w:before="240" w:after="240"/>
        <w:jc w:val="center"/>
        <w:rPr>
          <w:rFonts w:asciiTheme="minorHAnsi" w:hAnsiTheme="minorHAnsi" w:cstheme="minorHAnsi"/>
        </w:rPr>
      </w:pPr>
      <w:r w:rsidRPr="00A110A4">
        <w:rPr>
          <w:rFonts w:asciiTheme="minorHAnsi" w:hAnsiTheme="minorHAnsi" w:cstheme="minorHAnsi"/>
          <w:b/>
          <w:bCs/>
          <w:color w:val="FF0000"/>
        </w:rPr>
        <w:t>NOME DO RECORRENTE</w:t>
      </w:r>
    </w:p>
    <w:p w14:paraId="69238B4A" w14:textId="77777777" w:rsidR="00ED32D0" w:rsidRPr="00A110A4" w:rsidRDefault="00ED32D0" w:rsidP="00203B76">
      <w:pPr>
        <w:spacing w:before="120" w:after="120"/>
        <w:jc w:val="both"/>
        <w:rPr>
          <w:rFonts w:asciiTheme="minorHAnsi" w:hAnsiTheme="minorHAnsi" w:cstheme="minorHAnsi"/>
        </w:rPr>
      </w:pPr>
    </w:p>
    <w:p w14:paraId="0906A572" w14:textId="70314634" w:rsidR="00B2003E" w:rsidRPr="00A110A4" w:rsidRDefault="00B2003E" w:rsidP="00203B76">
      <w:pPr>
        <w:spacing w:before="120" w:after="120"/>
        <w:rPr>
          <w:rFonts w:asciiTheme="minorHAnsi" w:hAnsiTheme="minorHAnsi" w:cstheme="minorHAnsi"/>
        </w:rPr>
      </w:pPr>
    </w:p>
    <w:sectPr w:rsidR="00B2003E" w:rsidRPr="00A110A4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086AC" w14:textId="77777777" w:rsidR="00E24B3C" w:rsidRDefault="00E24B3C" w:rsidP="00B2003E">
      <w:r>
        <w:separator/>
      </w:r>
    </w:p>
  </w:endnote>
  <w:endnote w:type="continuationSeparator" w:id="0">
    <w:p w14:paraId="125C44F2" w14:textId="77777777" w:rsidR="00E24B3C" w:rsidRDefault="00E24B3C" w:rsidP="00B20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3858349"/>
      <w:docPartObj>
        <w:docPartGallery w:val="Page Numbers (Bottom of Page)"/>
        <w:docPartUnique/>
      </w:docPartObj>
    </w:sdtPr>
    <w:sdtContent>
      <w:p w14:paraId="37DACF46" w14:textId="0909E314" w:rsidR="005B0D3E" w:rsidRDefault="005B0D3E" w:rsidP="00A110A4">
        <w:pPr>
          <w:pStyle w:val="Rodap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2507D3" w14:textId="77777777" w:rsidR="00B2003E" w:rsidRDefault="00B200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AC11F" w14:textId="77777777" w:rsidR="00E24B3C" w:rsidRDefault="00E24B3C" w:rsidP="00B2003E">
      <w:r>
        <w:separator/>
      </w:r>
    </w:p>
  </w:footnote>
  <w:footnote w:type="continuationSeparator" w:id="0">
    <w:p w14:paraId="67F2E7FA" w14:textId="77777777" w:rsidR="00E24B3C" w:rsidRDefault="00E24B3C" w:rsidP="00B20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17B98"/>
    <w:multiLevelType w:val="hybridMultilevel"/>
    <w:tmpl w:val="4DB21CC6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4291D"/>
    <w:multiLevelType w:val="hybridMultilevel"/>
    <w:tmpl w:val="6C62651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E4F53"/>
    <w:multiLevelType w:val="hybridMultilevel"/>
    <w:tmpl w:val="5CC8BF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F7611"/>
    <w:multiLevelType w:val="hybridMultilevel"/>
    <w:tmpl w:val="D25ED8A4"/>
    <w:lvl w:ilvl="0" w:tplc="12B86D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0C62B01"/>
    <w:multiLevelType w:val="hybridMultilevel"/>
    <w:tmpl w:val="4CC21AD2"/>
    <w:lvl w:ilvl="0" w:tplc="CD4460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59B11C7"/>
    <w:multiLevelType w:val="hybridMultilevel"/>
    <w:tmpl w:val="31F2A22E"/>
    <w:lvl w:ilvl="0" w:tplc="238AEF0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525799050">
    <w:abstractNumId w:val="3"/>
  </w:num>
  <w:num w:numId="2" w16cid:durableId="599290768">
    <w:abstractNumId w:val="5"/>
  </w:num>
  <w:num w:numId="3" w16cid:durableId="639581369">
    <w:abstractNumId w:val="4"/>
  </w:num>
  <w:num w:numId="4" w16cid:durableId="490173911">
    <w:abstractNumId w:val="2"/>
  </w:num>
  <w:num w:numId="5" w16cid:durableId="1844007237">
    <w:abstractNumId w:val="0"/>
  </w:num>
  <w:num w:numId="6" w16cid:durableId="847058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3E"/>
    <w:rsid w:val="00030B46"/>
    <w:rsid w:val="000933FF"/>
    <w:rsid w:val="00101157"/>
    <w:rsid w:val="00165B9C"/>
    <w:rsid w:val="0017286E"/>
    <w:rsid w:val="0019418E"/>
    <w:rsid w:val="001A435C"/>
    <w:rsid w:val="00203B76"/>
    <w:rsid w:val="00263733"/>
    <w:rsid w:val="00287490"/>
    <w:rsid w:val="002C5CD1"/>
    <w:rsid w:val="002F4913"/>
    <w:rsid w:val="00327644"/>
    <w:rsid w:val="0039123E"/>
    <w:rsid w:val="003A0438"/>
    <w:rsid w:val="00413B97"/>
    <w:rsid w:val="004222A9"/>
    <w:rsid w:val="00474D72"/>
    <w:rsid w:val="00512757"/>
    <w:rsid w:val="005B0D3E"/>
    <w:rsid w:val="006F464E"/>
    <w:rsid w:val="0077238C"/>
    <w:rsid w:val="007E5A46"/>
    <w:rsid w:val="007F14B7"/>
    <w:rsid w:val="008A12FC"/>
    <w:rsid w:val="008B7FD1"/>
    <w:rsid w:val="00951C6B"/>
    <w:rsid w:val="00953718"/>
    <w:rsid w:val="009D2CA1"/>
    <w:rsid w:val="00A110A4"/>
    <w:rsid w:val="00A46A19"/>
    <w:rsid w:val="00B2003E"/>
    <w:rsid w:val="00B83C51"/>
    <w:rsid w:val="00BA73E1"/>
    <w:rsid w:val="00BD63EF"/>
    <w:rsid w:val="00BE118B"/>
    <w:rsid w:val="00C249E2"/>
    <w:rsid w:val="00C312C1"/>
    <w:rsid w:val="00C315EE"/>
    <w:rsid w:val="00CC42A5"/>
    <w:rsid w:val="00CD67D2"/>
    <w:rsid w:val="00D12F7C"/>
    <w:rsid w:val="00E24B3C"/>
    <w:rsid w:val="00E25F92"/>
    <w:rsid w:val="00E74A6D"/>
    <w:rsid w:val="00E971D1"/>
    <w:rsid w:val="00EA2A9B"/>
    <w:rsid w:val="00EC5667"/>
    <w:rsid w:val="00ED32D0"/>
    <w:rsid w:val="00ED4C19"/>
    <w:rsid w:val="00F761B8"/>
    <w:rsid w:val="00F964CA"/>
    <w:rsid w:val="00FD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56ABA"/>
  <w15:chartTrackingRefBased/>
  <w15:docId w15:val="{197739FC-D8A1-4253-AAEC-3ED94921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B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2003E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003E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00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200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003E"/>
  </w:style>
  <w:style w:type="paragraph" w:styleId="Rodap">
    <w:name w:val="footer"/>
    <w:basedOn w:val="Normal"/>
    <w:link w:val="RodapChar"/>
    <w:uiPriority w:val="99"/>
    <w:unhideWhenUsed/>
    <w:rsid w:val="00B200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003E"/>
  </w:style>
  <w:style w:type="character" w:customStyle="1" w:styleId="Ttulo1Char">
    <w:name w:val="Título 1 Char"/>
    <w:basedOn w:val="Fontepargpadro"/>
    <w:link w:val="Ttulo1"/>
    <w:uiPriority w:val="9"/>
    <w:rsid w:val="00B20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2003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2003E"/>
    <w:rPr>
      <w:rFonts w:eastAsiaTheme="minorEastAsi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2003E"/>
    <w:rPr>
      <w:rFonts w:eastAsiaTheme="minorEastAsia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2003E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2003E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SemEspaamentoChar">
    <w:name w:val="Sem Espaçamento Char"/>
    <w:link w:val="SemEspaamento"/>
    <w:uiPriority w:val="1"/>
    <w:locked/>
    <w:rsid w:val="00B2003E"/>
    <w:rPr>
      <w:rFonts w:eastAsiaTheme="minorEastAsia"/>
      <w:sz w:val="20"/>
      <w:szCs w:val="20"/>
    </w:rPr>
  </w:style>
  <w:style w:type="character" w:customStyle="1" w:styleId="texto1">
    <w:name w:val="texto1"/>
    <w:rsid w:val="00B2003E"/>
    <w:rPr>
      <w:rFonts w:ascii="Verdana" w:hAnsi="Verdana" w:hint="default"/>
      <w:strike w:val="0"/>
      <w:dstrike w:val="0"/>
      <w:color w:val="666666"/>
      <w:sz w:val="18"/>
      <w:szCs w:val="18"/>
      <w:u w:val="none"/>
      <w:effect w:val="none"/>
    </w:rPr>
  </w:style>
  <w:style w:type="paragraph" w:customStyle="1" w:styleId="TtuloeContedoLTGliederung1">
    <w:name w:val="Título e Conteúdo~LT~Gliederung 1"/>
    <w:rsid w:val="00B2003E"/>
    <w:pPr>
      <w:spacing w:before="283" w:after="0" w:line="216" w:lineRule="auto"/>
    </w:pPr>
    <w:rPr>
      <w:rFonts w:ascii="Lucida Sans" w:eastAsia="Tahoma" w:hAnsi="Lucida Sans" w:cs="Liberation Sans"/>
      <w:color w:val="000000"/>
      <w:kern w:val="2"/>
      <w:sz w:val="40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00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rsid w:val="00B2003E"/>
    <w:pPr>
      <w:spacing w:before="100" w:beforeAutospacing="1" w:after="100" w:afterAutospacing="1"/>
    </w:pPr>
  </w:style>
  <w:style w:type="paragraph" w:customStyle="1" w:styleId="Standard">
    <w:name w:val="Standard"/>
    <w:rsid w:val="00B2003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kern w:val="2"/>
      <w:sz w:val="20"/>
      <w:szCs w:val="20"/>
      <w:lang w:eastAsia="pt-BR"/>
    </w:rPr>
  </w:style>
  <w:style w:type="character" w:customStyle="1" w:styleId="apple-converted-space">
    <w:name w:val="apple-converted-space"/>
    <w:basedOn w:val="Fontepargpadro"/>
    <w:rsid w:val="00B2003E"/>
  </w:style>
  <w:style w:type="paragraph" w:styleId="PargrafodaLista">
    <w:name w:val="List Paragraph"/>
    <w:basedOn w:val="Normal"/>
    <w:uiPriority w:val="34"/>
    <w:qFormat/>
    <w:rsid w:val="00B2003E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2003E"/>
    <w:rPr>
      <w:color w:val="0000FF"/>
      <w:u w:val="single"/>
    </w:rPr>
  </w:style>
  <w:style w:type="paragraph" w:customStyle="1" w:styleId="Default">
    <w:name w:val="Default"/>
    <w:rsid w:val="00B2003E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83C51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B0D3E"/>
    <w:pPr>
      <w:spacing w:before="240"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5B0D3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B0D3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5B0D3E"/>
    <w:pPr>
      <w:spacing w:after="100"/>
      <w:ind w:left="440"/>
    </w:pPr>
  </w:style>
  <w:style w:type="character" w:customStyle="1" w:styleId="highlightbrs">
    <w:name w:val="highlightbrs"/>
    <w:basedOn w:val="Fontepargpadro"/>
    <w:rsid w:val="00ED32D0"/>
  </w:style>
  <w:style w:type="character" w:styleId="Refdecomentrio">
    <w:name w:val="annotation reference"/>
    <w:basedOn w:val="Fontepargpadro"/>
    <w:uiPriority w:val="99"/>
    <w:semiHidden/>
    <w:unhideWhenUsed/>
    <w:rsid w:val="007F14B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F14B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F14B7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F14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F14B7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14B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14B7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6/Lei/L13281.htm" TargetMode="External"/><Relationship Id="rId13" Type="http://schemas.openxmlformats.org/officeDocument/2006/relationships/hyperlink" Target="http://www.planalto.gov.br/ccivil_03/_Ato2015-2018/2016/Lei/L13281.htm" TargetMode="External"/><Relationship Id="rId18" Type="http://schemas.openxmlformats.org/officeDocument/2006/relationships/hyperlink" Target="http://www.planalto.gov.br/ccivil_03/_Ato2015-2018/2016/Lei/L13281.htm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planalto.gov.br/ccivil_03/_Ato2015-2018/2016/Lei/L13281.htm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planalto.gov.br/ccivil_03/_Ato2015-2018/2016/Lei/L13281.htm" TargetMode="External"/><Relationship Id="rId17" Type="http://schemas.openxmlformats.org/officeDocument/2006/relationships/hyperlink" Target="http://www.planalto.gov.br/ccivil_03/_Ato2015-2018/2016/Lei/L13281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planalto.gov.br/ccivil_03/_Ato2015-2018/2016/Lei/L13281.htm" TargetMode="External"/><Relationship Id="rId20" Type="http://schemas.openxmlformats.org/officeDocument/2006/relationships/hyperlink" Target="http://www.planalto.gov.br/ccivil_03/_Ato2015-2018/2016/Lei/L13281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_Ato2015-2018/2016/Lei/L13281.ht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planalto.gov.br/ccivil_03/_Ato2015-2018/2016/Lei/L13281.ht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planalto.gov.br/ccivil_03/_Ato2015-2018/2016/Lei/L13281.htm" TargetMode="External"/><Relationship Id="rId19" Type="http://schemas.openxmlformats.org/officeDocument/2006/relationships/hyperlink" Target="http://www.planalto.gov.br/ccivil_03/_Ato2015-2018/2016/Lei/L13281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_Ato2015-2018/2016/Lei/L13281.htm" TargetMode="External"/><Relationship Id="rId14" Type="http://schemas.openxmlformats.org/officeDocument/2006/relationships/hyperlink" Target="http://www.planalto.gov.br/ccivil_03/_Ato2015-2018/2016/Lei/L13281.ht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EB5F8-2153-489A-BF4D-9E489F1FD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1291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vagner oliveira</dc:creator>
  <cp:keywords/>
  <dc:description/>
  <cp:lastModifiedBy>Erica Avallone</cp:lastModifiedBy>
  <cp:revision>4</cp:revision>
  <cp:lastPrinted>2021-04-23T23:08:00Z</cp:lastPrinted>
  <dcterms:created xsi:type="dcterms:W3CDTF">2021-04-29T22:10:00Z</dcterms:created>
  <dcterms:modified xsi:type="dcterms:W3CDTF">2023-03-16T14:34:00Z</dcterms:modified>
</cp:coreProperties>
</file>