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5FD13" w14:textId="77777777" w:rsidR="00D86D39" w:rsidRPr="00D86D39" w:rsidRDefault="00D86D39" w:rsidP="00D86D3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</w:pPr>
      <w:r w:rsidRPr="00D86D3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pt-BR"/>
          <w14:ligatures w14:val="none"/>
        </w:rPr>
        <w:t>DA VIOLAÇÃO AO MANUAL BRASILEIRO DE FISCALIZAÇÃO DE TRÂNSITO E DA TIPIFICAÇÃO INCORRETA</w:t>
      </w:r>
    </w:p>
    <w:p w14:paraId="01DAB406" w14:textId="77777777" w:rsidR="00D86D39" w:rsidRPr="00D86D39" w:rsidRDefault="00D86D39" w:rsidP="00D86D39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</w:pPr>
    </w:p>
    <w:p w14:paraId="3E38EFCB" w14:textId="77777777" w:rsidR="00D86D39" w:rsidRPr="00D86D39" w:rsidRDefault="00D86D39" w:rsidP="00D86D3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</w:pPr>
      <w:r w:rsidRPr="00D86D39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>Como se não bastasse a contradição aqui existente, é certo que a autuação que aqui atacamos viola o MBFT. </w:t>
      </w:r>
    </w:p>
    <w:p w14:paraId="29541FA2" w14:textId="77777777" w:rsidR="00D86D39" w:rsidRPr="00D86D39" w:rsidRDefault="00D86D39" w:rsidP="00D86D39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</w:pPr>
    </w:p>
    <w:p w14:paraId="1B4E4F03" w14:textId="77777777" w:rsidR="00D86D39" w:rsidRPr="00D86D39" w:rsidRDefault="00D86D39" w:rsidP="00D86D3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</w:pPr>
      <w:r w:rsidRPr="00D86D39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 xml:space="preserve">Eis que no campo “quando autuar”, do art. 165-A do CTB a ficha é expressa: Condutor que se recusar a se submeter ao teste do etilômetro ou a qualquer dos procedimentos previstos no art. 277 </w:t>
      </w:r>
      <w:r w:rsidRPr="00D86D39">
        <w:rPr>
          <w:rFonts w:ascii="Calibri" w:eastAsia="Times New Roman" w:hAnsi="Calibri" w:cs="Calibri"/>
          <w:color w:val="000000"/>
          <w:kern w:val="0"/>
          <w:sz w:val="24"/>
          <w:szCs w:val="24"/>
          <w:u w:val="single"/>
          <w:lang w:eastAsia="pt-BR"/>
          <w14:ligatures w14:val="none"/>
        </w:rPr>
        <w:t>e não apresentar ou apresentar apenas um sinal da alteração da capacidade psicomotora</w:t>
      </w:r>
      <w:r w:rsidRPr="00D86D39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>.</w:t>
      </w:r>
    </w:p>
    <w:p w14:paraId="2639F2AB" w14:textId="77777777" w:rsidR="00D86D39" w:rsidRPr="00D86D39" w:rsidRDefault="00D86D39" w:rsidP="00D86D39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</w:pPr>
    </w:p>
    <w:p w14:paraId="181F5607" w14:textId="77777777" w:rsidR="00D86D39" w:rsidRPr="00D86D39" w:rsidRDefault="00D86D39" w:rsidP="00D86D3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</w:pPr>
      <w:r w:rsidRPr="00D86D39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>Da mesma forma a ficha do art. 165, no campo “quando autuar”: condutor que apresentar mais de um sinal de alteração da capacidade psicomotora.</w:t>
      </w:r>
    </w:p>
    <w:p w14:paraId="0533FE19" w14:textId="77777777" w:rsidR="00D86D39" w:rsidRPr="00D86D39" w:rsidRDefault="00D86D39" w:rsidP="00D86D39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</w:pPr>
    </w:p>
    <w:p w14:paraId="36A7B75C" w14:textId="77777777" w:rsidR="00D86D39" w:rsidRPr="00D86D39" w:rsidRDefault="00D86D39" w:rsidP="00D86D3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</w:pPr>
      <w:r w:rsidRPr="00D86D39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 xml:space="preserve">Conveniente esclarecer que </w:t>
      </w:r>
      <w:r w:rsidRPr="00D86D39">
        <w:rPr>
          <w:rFonts w:ascii="Calibri" w:eastAsia="Times New Roman" w:hAnsi="Calibri" w:cs="Calibri"/>
          <w:i/>
          <w:iCs/>
          <w:color w:val="000000"/>
          <w:kern w:val="0"/>
          <w:sz w:val="24"/>
          <w:szCs w:val="24"/>
          <w:lang w:eastAsia="pt-BR"/>
          <w14:ligatures w14:val="none"/>
        </w:rPr>
        <w:t xml:space="preserve">O auto de infração de trânsito, enquanto ato administrativo, somente será considerado perfeito quando materialmente não lhe faltar nada, ou seja, </w:t>
      </w:r>
      <w:r w:rsidRPr="00D86D39"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:u w:val="single"/>
          <w:lang w:eastAsia="pt-BR"/>
          <w14:ligatures w14:val="none"/>
        </w:rPr>
        <w:t>quando as disposições elementares atinentes ao motivo, conteúdo, finalidade, forma, causa e competência do agente público que o confeccionou forem observadas</w:t>
      </w:r>
      <w:r w:rsidRPr="00D86D39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 xml:space="preserve"> (GASPARINI, Diógenes, Direito Administrativo, 8ª Ed., São Paulo, Saraiva, 2003, p. 66).</w:t>
      </w:r>
    </w:p>
    <w:p w14:paraId="5B3219B0" w14:textId="77777777" w:rsidR="00D86D39" w:rsidRPr="00D86D39" w:rsidRDefault="00D86D39" w:rsidP="00D86D39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</w:pPr>
    </w:p>
    <w:p w14:paraId="2C1069E7" w14:textId="77777777" w:rsidR="00D86D39" w:rsidRPr="00D86D39" w:rsidRDefault="00D86D39" w:rsidP="00D86D3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</w:pPr>
      <w:r w:rsidRPr="00D86D39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>Ou seja, é nítido que o AIT deve ser anulado por ter o agente de trânsito utilizado a tipificação incorreta, eis que com a recusa e com apenas um sinal de alteração da capacidade psicomotora, a infração é ao artigo 165-A do CTB e não ao art. 165 do CTB.</w:t>
      </w:r>
    </w:p>
    <w:p w14:paraId="60F35CE7" w14:textId="77777777" w:rsidR="00EF1CDB" w:rsidRPr="00D86D39" w:rsidRDefault="00EF1CDB" w:rsidP="00D86D39"/>
    <w:sectPr w:rsidR="00EF1CDB" w:rsidRPr="00D86D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39"/>
    <w:rsid w:val="00A21E18"/>
    <w:rsid w:val="00D86D39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714BC"/>
  <w15:chartTrackingRefBased/>
  <w15:docId w15:val="{DBD44786-4E42-4F5F-8698-5A564FEF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6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9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1</cp:revision>
  <dcterms:created xsi:type="dcterms:W3CDTF">2023-03-23T18:58:00Z</dcterms:created>
  <dcterms:modified xsi:type="dcterms:W3CDTF">2023-03-23T18:59:00Z</dcterms:modified>
</cp:coreProperties>
</file>