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468B8" w14:textId="77777777" w:rsidR="00F03BC4" w:rsidRPr="009B634C" w:rsidRDefault="00F03BC4" w:rsidP="00F03BC4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  <w:bookmarkStart w:id="0" w:name="_Hlk55289909"/>
      <w:bookmarkEnd w:id="0"/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shd w:val="clear" w:color="auto" w:fill="FFFFFF"/>
        </w:rPr>
        <w:t xml:space="preserve">ILUSTRÍSSIMO SENHOR DIRETOR/SUPERINTENDENTE DO </w:t>
      </w:r>
      <w:r w:rsidRPr="009B634C">
        <w:rPr>
          <w:rFonts w:asciiTheme="minorHAnsi" w:eastAsia="Times New Roman" w:hAnsiTheme="minorHAnsi" w:cstheme="minorHAnsi"/>
          <w:b/>
          <w:bCs/>
          <w:color w:val="FF0000"/>
          <w:sz w:val="20"/>
          <w:szCs w:val="20"/>
          <w:shd w:val="clear" w:color="auto" w:fill="FFFFFF"/>
        </w:rPr>
        <w:t>ÓRGÃO AUTUADOR/UF</w:t>
      </w:r>
    </w:p>
    <w:p w14:paraId="56125FD7" w14:textId="77777777" w:rsidR="00F03BC4" w:rsidRPr="009B634C" w:rsidRDefault="00F03BC4" w:rsidP="00F03BC4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19F3A4D5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Ref. AIT. </w:t>
      </w:r>
      <w:r w:rsidRPr="009B634C">
        <w:rPr>
          <w:rFonts w:asciiTheme="minorHAnsi" w:eastAsia="Times New Roman" w:hAnsiTheme="minorHAnsi" w:cstheme="minorHAnsi"/>
          <w:b/>
          <w:bCs/>
          <w:color w:val="FF0000"/>
          <w:sz w:val="20"/>
          <w:szCs w:val="20"/>
        </w:rPr>
        <w:t>XXXXXXXXXXX</w:t>
      </w:r>
    </w:p>
    <w:p w14:paraId="33073E2C" w14:textId="5A196CEC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Defesa | Recurso à JARI | Recurso ao CETRAN</w:t>
      </w:r>
      <w:r w:rsidR="002E484D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 | CONTRANDIF | Colegiado Especial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ab/>
      </w:r>
    </w:p>
    <w:p w14:paraId="37E8D9B4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7AF49F4F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1590A080" w14:textId="005F84D1" w:rsidR="00F03BC4" w:rsidRPr="009B634C" w:rsidRDefault="009B634C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THIAGO</w:t>
      </w:r>
      <w:r w:rsidR="00F03BC4"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 </w:t>
      </w:r>
      <w:r w:rsidR="00F03BC4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(qualificação completa), </w:t>
      </w:r>
      <w:r w:rsidR="00F03BC4" w:rsidRPr="009B634C">
        <w:rPr>
          <w:rFonts w:asciiTheme="minorHAnsi" w:eastAsia="Times New Roman" w:hAnsiTheme="minorHAnsi" w:cstheme="minorHAnsi"/>
          <w:color w:val="FF0000"/>
          <w:sz w:val="20"/>
          <w:szCs w:val="20"/>
          <w:u w:val="single"/>
        </w:rPr>
        <w:t>proprietário/</w:t>
      </w:r>
      <w:r w:rsidR="00F03BC4" w:rsidRPr="009B634C">
        <w:rPr>
          <w:rFonts w:asciiTheme="minorHAnsi" w:eastAsia="Times New Roman" w:hAnsiTheme="minorHAnsi" w:cstheme="minorHAnsi"/>
          <w:color w:val="FF0000"/>
          <w:sz w:val="20"/>
          <w:szCs w:val="20"/>
          <w:u w:val="single"/>
          <w:shd w:val="clear" w:color="auto" w:fill="FFFFFF"/>
        </w:rPr>
        <w:t>condutor</w:t>
      </w:r>
      <w:r w:rsidR="00F03BC4" w:rsidRPr="009B634C">
        <w:rPr>
          <w:rFonts w:asciiTheme="minorHAnsi" w:eastAsia="Times New Roman" w:hAnsiTheme="minorHAnsi" w:cstheme="minorHAnsi"/>
          <w:color w:val="FF0000"/>
          <w:sz w:val="20"/>
          <w:szCs w:val="20"/>
          <w:shd w:val="clear" w:color="auto" w:fill="FFFFFF"/>
        </w:rPr>
        <w:t xml:space="preserve"> </w:t>
      </w:r>
      <w:r w:rsidR="00F03BC4"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 xml:space="preserve">do veículo de documento anexo, vem respeitosamente à presença de Vossa Senhoria, por intermédio de sua procuradora, ao final assinada, devidamente representada pela procuração que vai em anexo, apresentar </w:t>
      </w:r>
      <w:r w:rsidR="00F03BC4"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DEFESA</w:t>
      </w:r>
      <w:r w:rsidR="00F03BC4"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, contra a autuação lavrada pelo AIT supra mencionado, nos termos dos artigos 280 e seguintes do CTB, bem como Resoluções 432, 900 e 918 do CONTRAN e demais legislações aplicáveis, o que faz da seguinte forma:</w:t>
      </w:r>
    </w:p>
    <w:p w14:paraId="6869F948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</w:p>
    <w:p w14:paraId="448D347E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sz w:val="20"/>
          <w:szCs w:val="20"/>
          <w:shd w:val="clear" w:color="auto" w:fill="FFFFFF"/>
        </w:rPr>
        <w:t>PRELIMINAR - Da Tempestividade – defesa/recurso enviada via postal</w:t>
      </w:r>
    </w:p>
    <w:p w14:paraId="7823B0D8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FF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FF0000"/>
          <w:sz w:val="20"/>
          <w:szCs w:val="20"/>
          <w:shd w:val="clear" w:color="auto" w:fill="FFFFFF"/>
        </w:rPr>
        <w:t>(no caso de prazo final de apresentação de defesa/recurso que cai no final de semana e no caso do protocolo da defesa/recurso de forma postal)</w:t>
      </w:r>
    </w:p>
    <w:p w14:paraId="0C443DF7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</w:p>
    <w:p w14:paraId="3109EAFF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O prazo final do recurso é dia XX/XX/XXXX.</w:t>
      </w:r>
    </w:p>
    <w:p w14:paraId="6489104D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 </w:t>
      </w:r>
    </w:p>
    <w:p w14:paraId="794347BD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Ocorre que por uma falha no sistema deste órgão de trânsito, o Recorrente NÃO conseguiu fazer o protocolo de forma online.</w:t>
      </w:r>
    </w:p>
    <w:p w14:paraId="252421D6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 </w:t>
      </w:r>
    </w:p>
    <w:p w14:paraId="7632D21A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O art. 29 da Resolução 918 do CONTRAN diz:</w:t>
      </w:r>
    </w:p>
    <w:p w14:paraId="16B3149A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 </w:t>
      </w:r>
    </w:p>
    <w:p w14:paraId="6F2A13CF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i/>
          <w:iCs/>
          <w:sz w:val="20"/>
          <w:szCs w:val="20"/>
          <w:shd w:val="clear" w:color="auto" w:fill="FFFFFF"/>
        </w:rPr>
        <w:t>Art. 29. A contagem dos prazos para apresentação de condutor e interposição da defesa da autuação e dos recursos de que trata esta Resolução será em dias consecutivos, excluindo-se o dia da notificação ou publicação por meio de edital, e incluindo-se o dia do vencimento.</w:t>
      </w:r>
    </w:p>
    <w:p w14:paraId="3C46F16C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i/>
          <w:iCs/>
          <w:sz w:val="20"/>
          <w:szCs w:val="20"/>
          <w:shd w:val="clear" w:color="auto" w:fill="FFFFFF"/>
        </w:rPr>
        <w:t>Parágrafo único. Considera-se prorrogado o prazo até o 1º (primeiro) dia útil se o vencimento cair em feriado, sábado, domingo, em dia que não houver expediente ou este for encerrado antes da hora normal.</w:t>
      </w:r>
    </w:p>
    <w:p w14:paraId="08A89494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 </w:t>
      </w:r>
    </w:p>
    <w:p w14:paraId="4658AB29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Além disso, o art. 6º da Resolução 900 do CONTRAN diz que:</w:t>
      </w:r>
    </w:p>
    <w:p w14:paraId="52AB22FA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i/>
          <w:iCs/>
          <w:sz w:val="20"/>
          <w:szCs w:val="20"/>
          <w:shd w:val="clear" w:color="auto" w:fill="FFFFFF"/>
        </w:rPr>
        <w:t> </w:t>
      </w:r>
    </w:p>
    <w:p w14:paraId="0A69BDEB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i/>
          <w:iCs/>
          <w:sz w:val="20"/>
          <w:szCs w:val="20"/>
          <w:shd w:val="clear" w:color="auto" w:fill="FFFFFF"/>
        </w:rPr>
        <w:t xml:space="preserve">Art. 6º A defesa prévia ou o recurso deverá ser protocolado no órgão ou entidade de trânsito autuador ou enviado, </w:t>
      </w:r>
      <w:r w:rsidRPr="009B634C">
        <w:rPr>
          <w:rFonts w:asciiTheme="minorHAnsi" w:eastAsia="Times New Roman" w:hAnsiTheme="minorHAnsi" w:cstheme="minorHAnsi"/>
          <w:i/>
          <w:iCs/>
          <w:sz w:val="20"/>
          <w:szCs w:val="20"/>
          <w:u w:val="single"/>
          <w:shd w:val="clear" w:color="auto" w:fill="FFFFFF"/>
        </w:rPr>
        <w:t>via postal</w:t>
      </w:r>
      <w:r w:rsidRPr="009B634C">
        <w:rPr>
          <w:rFonts w:asciiTheme="minorHAnsi" w:eastAsia="Times New Roman" w:hAnsiTheme="minorHAnsi" w:cstheme="minorHAnsi"/>
          <w:i/>
          <w:iCs/>
          <w:sz w:val="20"/>
          <w:szCs w:val="20"/>
          <w:shd w:val="clear" w:color="auto" w:fill="FFFFFF"/>
        </w:rPr>
        <w:t>, para o seu endereço, respeitado o disposto no art. 287 do CTB.</w:t>
      </w:r>
    </w:p>
    <w:p w14:paraId="15A7A5D5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i/>
          <w:iCs/>
          <w:sz w:val="20"/>
          <w:szCs w:val="20"/>
          <w:shd w:val="clear" w:color="auto" w:fill="FFFFFF"/>
        </w:rPr>
        <w:t>§ 1º Para verificação da tempestividade, deverá ser considerada:</w:t>
      </w:r>
    </w:p>
    <w:p w14:paraId="5B919E77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i/>
          <w:iCs/>
          <w:sz w:val="20"/>
          <w:szCs w:val="20"/>
          <w:shd w:val="clear" w:color="auto" w:fill="FFFFFF"/>
        </w:rPr>
        <w:t>I - a data da entrega na Empresa Brasileira de Correios e Telégrafos (ECT), no caso de defesa prévia ou de recurso apresentado por via postal; ou</w:t>
      </w:r>
    </w:p>
    <w:p w14:paraId="7C791D02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i/>
          <w:iCs/>
          <w:sz w:val="20"/>
          <w:szCs w:val="20"/>
          <w:shd w:val="clear" w:color="auto" w:fill="FFFFFF"/>
        </w:rPr>
        <w:t>II - a data de protocolo no órgão ou entidade de trânsito da residência ou domicílio do proprietário ou infrator, quando utilizada a forma prevista no art. 287 do CTB.</w:t>
      </w:r>
    </w:p>
    <w:p w14:paraId="4D5AD780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 </w:t>
      </w:r>
    </w:p>
    <w:p w14:paraId="310A3A6B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Assim, considera-se a data do protocolo do recurso a data da postagem da defesa/recurso no correio, como é possível verificar no envelope e comprovante de postagem.</w:t>
      </w:r>
    </w:p>
    <w:p w14:paraId="706FEA71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</w:p>
    <w:p w14:paraId="1081ED83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Diante do exposto, como há nítida falha no sistema do órgão de trânsito competente, o prazo final deve ser estendido, até o próximo dia útil subsequente.</w:t>
      </w:r>
    </w:p>
    <w:p w14:paraId="638162D3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 </w:t>
      </w:r>
    </w:p>
    <w:p w14:paraId="75B9273E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Portanto, essa defesa é TEMPESTIVA.</w:t>
      </w:r>
    </w:p>
    <w:p w14:paraId="712F8675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</w:p>
    <w:p w14:paraId="5ADAB9B4" w14:textId="77777777" w:rsidR="00F03BC4" w:rsidRPr="009B634C" w:rsidRDefault="00F03BC4" w:rsidP="00F03BC4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</w:rPr>
        <w:t>PRELIMINARMENTE - Da notificação da AUTUAÇÃO expedida fora do prazo legal </w:t>
      </w:r>
    </w:p>
    <w:p w14:paraId="3B8B142D" w14:textId="77777777" w:rsidR="002E484D" w:rsidRPr="009B634C" w:rsidRDefault="002E484D" w:rsidP="002E484D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FF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FF0000"/>
          <w:sz w:val="20"/>
          <w:szCs w:val="20"/>
        </w:rPr>
        <w:t>(utilizem o contador de dias)</w:t>
      </w:r>
    </w:p>
    <w:p w14:paraId="38F613B1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535E4C62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</w:p>
    <w:p w14:paraId="63A538B2" w14:textId="77777777" w:rsidR="00F03BC4" w:rsidRPr="009B634C" w:rsidRDefault="00F03BC4" w:rsidP="00F03BC4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</w:rPr>
        <w:t>PRELIMINARMENTE - Da notificação de PENALIDADE expedida fora do prazo legal </w:t>
      </w:r>
    </w:p>
    <w:p w14:paraId="547CF07C" w14:textId="77777777" w:rsidR="00F03BC4" w:rsidRPr="009B634C" w:rsidRDefault="00F03BC4" w:rsidP="00F03BC4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FF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FF0000"/>
          <w:sz w:val="20"/>
          <w:szCs w:val="20"/>
        </w:rPr>
        <w:t>(utilizem o contador de dias)</w:t>
      </w:r>
    </w:p>
    <w:p w14:paraId="5822AD7F" w14:textId="77777777" w:rsidR="00F03BC4" w:rsidRPr="009B634C" w:rsidRDefault="00F03BC4" w:rsidP="00F03BC4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1D1D1D"/>
          <w:sz w:val="20"/>
          <w:szCs w:val="20"/>
        </w:rPr>
      </w:pPr>
    </w:p>
    <w:p w14:paraId="4566C2EB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Fui notificado da aplicação da penalidade de multa em epígrafe, decorrente de autuação por infração ao Código de Trânsito Brasileiro.</w:t>
      </w:r>
    </w:p>
    <w:p w14:paraId="12508CC9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70AD47"/>
          <w:sz w:val="20"/>
          <w:szCs w:val="20"/>
        </w:rPr>
        <w:t> </w:t>
      </w:r>
    </w:p>
    <w:p w14:paraId="3735C593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FF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FF0000"/>
          <w:sz w:val="20"/>
          <w:szCs w:val="20"/>
        </w:rPr>
        <w:t>Apresentou defesa prévia?</w:t>
      </w:r>
    </w:p>
    <w:p w14:paraId="24E967FA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2946B7EA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Ocorre que, desde a data do cometimento da infração até a expedição da notificação de penalidade, passaram-se mais de 360 dias, na verdade, se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highlight w:val="yellow"/>
        </w:rPr>
        <w:t>passaram XXXXX dias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, ocorrendo a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preclusão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do ato administrativo e a decadência do direito de punir, nos termos dos §§ 6° e 7° do artigo 282 do Código de Trânsito Brasileiro, vejamos:</w:t>
      </w:r>
    </w:p>
    <w:p w14:paraId="190A5A89" w14:textId="77777777" w:rsidR="00F03BC4" w:rsidRPr="009B634C" w:rsidRDefault="00F03BC4" w:rsidP="00F03BC4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lastRenderedPageBreak/>
        <w:t> </w:t>
      </w:r>
    </w:p>
    <w:p w14:paraId="3D3FFB08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>Art. 282. Caso a defesa prévia seja indeferida ou não seja apresentada no prazo estabelecido, será aplicada a penalidade e expedida notificação ao proprietário do veículo ou ao infrator, por remessa postal ou por qualquer outro meio tecnológico hábil que assegure a ciência da imposição da penalidade.</w:t>
      </w:r>
    </w:p>
    <w:p w14:paraId="5A8E43C3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</w:p>
    <w:p w14:paraId="1ECA7239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 xml:space="preserve">§ 6º O prazo para expedição das notificações das penalidades previstas no art. 256 deste Código é de 180 (cento e oitenta) dias ou, </w:t>
      </w: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  <w:u w:val="single"/>
        </w:rPr>
        <w:t>se houver interposição de defesa prévia, de 360 (trezentos e sessenta) dias</w:t>
      </w:r>
      <w:r w:rsidRPr="009B634C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>, contado:</w:t>
      </w:r>
    </w:p>
    <w:p w14:paraId="578CBB23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>I - no caso das penalidades previstas nos incisos I e II do caput do art. 256 deste Código, da data do cometimento da infração;</w:t>
      </w:r>
    </w:p>
    <w:p w14:paraId="4CF42407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70AD47"/>
          <w:sz w:val="20"/>
          <w:szCs w:val="20"/>
        </w:rPr>
        <w:t> </w:t>
      </w:r>
    </w:p>
    <w:p w14:paraId="4D16F31D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E, não havendo a aplicação da penalidade nos prazos previstos em lei, ocorre a decadência do direito de punir:</w:t>
      </w:r>
    </w:p>
    <w:p w14:paraId="04797FD2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70AD47"/>
          <w:sz w:val="20"/>
          <w:szCs w:val="20"/>
        </w:rPr>
        <w:t> </w:t>
      </w:r>
    </w:p>
    <w:p w14:paraId="44295E6D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>§ 7º O descumprimento dos prazos previstos no § 6º deste artigo implicará a decadência do direito de aplicar a respectiva penalidade.”</w:t>
      </w:r>
    </w:p>
    <w:p w14:paraId="02184BDA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70AD47"/>
          <w:sz w:val="20"/>
          <w:szCs w:val="20"/>
        </w:rPr>
        <w:t> </w:t>
      </w:r>
    </w:p>
    <w:p w14:paraId="79228BE9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E o termo inicial para a decadência do direito de punir é a data do cometimento da infração. Não há qualquer possibilidade de analisar de outra forma o artigo 282 do CTB, visto que basta a interpretação literal deste artigo.</w:t>
      </w:r>
    </w:p>
    <w:p w14:paraId="3D5E5FCF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688E63D6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Nesse sentido, cabe dizer que apresentei defesa prévia contra o AIT aqui em discussão, o que atrai a regra de preclusão estabelecida no § 6º, do artigo 282.</w:t>
      </w:r>
    </w:p>
    <w:p w14:paraId="3998E834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3A10D61A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Houve apresentação de defesa prévia que foi julgada somente agora, num prazo muito superior ao que prevê o art. 282.</w:t>
      </w:r>
    </w:p>
    <w:p w14:paraId="32F27AAA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1B588FB8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1D1D1D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Logo, o arquivamento deste processo administrativo, a é medida que se impõe, o que desde logo se requer.</w:t>
      </w:r>
    </w:p>
    <w:p w14:paraId="2F8E5605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26A77317" w14:textId="77777777" w:rsidR="00A170EA" w:rsidRPr="009B634C" w:rsidRDefault="00A170EA" w:rsidP="00A170E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</w:rPr>
        <w:t>DOS FATOS</w:t>
      </w:r>
    </w:p>
    <w:p w14:paraId="00F70929" w14:textId="77777777" w:rsidR="00A170EA" w:rsidRPr="009B634C" w:rsidRDefault="00A170EA" w:rsidP="00A170E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2027082B" w14:textId="0CBAA766" w:rsidR="00A170EA" w:rsidRPr="009B634C" w:rsidRDefault="00A170EA" w:rsidP="00A170E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O Recorrente, que é o condutor do veículo de placas FIW2F66, um automóvel da marca Honda modelo HR-V, ano 2020, sofreu um acidente</w:t>
      </w:r>
      <w:r w:rsidR="009C3FA7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no dia 27/02/2021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, vindo a colidir com um caminhão de coleta de lixo, </w:t>
      </w:r>
      <w:r w:rsidR="009C3FA7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conforme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BO em anexo.</w:t>
      </w:r>
    </w:p>
    <w:p w14:paraId="68E8153E" w14:textId="2A83DCF7" w:rsidR="00A170EA" w:rsidRPr="009B634C" w:rsidRDefault="00A170EA" w:rsidP="00A170E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1FC0C9B9" w14:textId="63C7F667" w:rsidR="00A170EA" w:rsidRPr="009B634C" w:rsidRDefault="00A170EA" w:rsidP="00A170E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Ocorre que, no momento do acidente, o Recorrente foi jogado contra o caminhão por causa de uma </w:t>
      </w:r>
      <w:r w:rsidRPr="002E484D">
        <w:rPr>
          <w:rFonts w:asciiTheme="minorHAnsi" w:eastAsia="Times New Roman" w:hAnsiTheme="minorHAnsi" w:cstheme="minorHAnsi"/>
          <w:color w:val="FF0000"/>
          <w:sz w:val="20"/>
          <w:szCs w:val="20"/>
          <w:u w:val="single"/>
        </w:rPr>
        <w:t>poça d’água (aquaplanagem)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, </w:t>
      </w:r>
      <w:r w:rsidR="0004784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visto que naquela ocasião chovia,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que projetou o veículo do Recorrente </w:t>
      </w:r>
      <w:r w:rsidR="0004784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na traseira do caminhão e, após o impacto, sofreu uma forte batida contra o muro central de divisão de fluxos</w:t>
      </w:r>
      <w:r w:rsidR="009C3FA7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da rodovia</w:t>
      </w:r>
      <w:r w:rsidR="0004784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</w:p>
    <w:p w14:paraId="66A1DEE6" w14:textId="6AF1149D" w:rsidR="00047846" w:rsidRPr="009B634C" w:rsidRDefault="00047846" w:rsidP="00A170E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75A16D07" w14:textId="30250DC3" w:rsidR="00047846" w:rsidRPr="009B634C" w:rsidRDefault="00047846" w:rsidP="00A170E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Vale dizer que a batida foi tão forte que o Recorrente ficou muito machucado e não se lembrava do que havia acontecido</w:t>
      </w:r>
      <w:r w:rsidR="009C3FA7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Nas informações complementares do BO</w:t>
      </w:r>
      <w:r w:rsidR="009C3FA7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o próprio policial descreveu que as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lesões no Recorrente eram graves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</w:p>
    <w:p w14:paraId="5C9A5244" w14:textId="2752E87A" w:rsidR="00047846" w:rsidRPr="009B634C" w:rsidRDefault="00047846" w:rsidP="00A170E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7B07F9EB" w14:textId="3202EE25" w:rsidR="00047846" w:rsidRPr="009B634C" w:rsidRDefault="00047846" w:rsidP="00047846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noProof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noProof/>
          <w:sz w:val="20"/>
          <w:szCs w:val="20"/>
        </w:rPr>
        <w:drawing>
          <wp:inline distT="0" distB="0" distL="0" distR="0" wp14:anchorId="636442C6" wp14:editId="0F527DE6">
            <wp:extent cx="2685425" cy="2014069"/>
            <wp:effectExtent l="0" t="0" r="635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582" cy="202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34C">
        <w:rPr>
          <w:rFonts w:asciiTheme="minorHAnsi" w:eastAsia="Times New Roman" w:hAnsiTheme="minorHAnsi" w:cstheme="minorHAnsi"/>
          <w:noProof/>
          <w:sz w:val="20"/>
          <w:szCs w:val="20"/>
        </w:rPr>
        <w:t xml:space="preserve">      </w:t>
      </w:r>
      <w:r w:rsidRPr="009B634C">
        <w:rPr>
          <w:rFonts w:asciiTheme="minorHAnsi" w:eastAsia="Times New Roman" w:hAnsiTheme="minorHAnsi" w:cstheme="minorHAnsi"/>
          <w:noProof/>
          <w:sz w:val="20"/>
          <w:szCs w:val="20"/>
        </w:rPr>
        <w:drawing>
          <wp:inline distT="0" distB="0" distL="0" distR="0" wp14:anchorId="068E6B2E" wp14:editId="296C1233">
            <wp:extent cx="2192689" cy="1992776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0" b="27847"/>
                    <a:stretch/>
                  </pic:blipFill>
                  <pic:spPr bwMode="auto">
                    <a:xfrm>
                      <a:off x="0" y="0"/>
                      <a:ext cx="2235833" cy="2031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6BD16" w14:textId="77777777" w:rsidR="00047846" w:rsidRPr="009B634C" w:rsidRDefault="00047846" w:rsidP="00047846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</w:p>
    <w:p w14:paraId="53AC1E32" w14:textId="0D0F4B45" w:rsidR="009C3FA7" w:rsidRPr="009B634C" w:rsidRDefault="009C3FA7" w:rsidP="00A170E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3652A12C" w14:textId="39E4BC64" w:rsidR="008B391E" w:rsidRPr="009B634C" w:rsidRDefault="009C3FA7" w:rsidP="009C3FA7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Ainda é válido frisar que no momento do acidente, o condutor, ora Requerente não tinha condições de realizar o teste do etilômetro, uma vez que</w:t>
      </w:r>
      <w:r w:rsidR="00485E93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segundo relato das testemunhas, ele estava desnorteado</w:t>
      </w:r>
      <w:r w:rsidR="008B391E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e desmaiou.</w:t>
      </w:r>
    </w:p>
    <w:p w14:paraId="171C1788" w14:textId="2BBF6FA9" w:rsidR="008B391E" w:rsidRPr="009B634C" w:rsidRDefault="008B391E" w:rsidP="009C3FA7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368DC57D" w14:textId="4F305B6E" w:rsidR="009C3FA7" w:rsidRPr="009B634C" w:rsidRDefault="008B391E" w:rsidP="009C3FA7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O Recorrente foi removido do local do acidente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de</w:t>
      </w:r>
      <w:r w:rsidR="009C3FA7"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 xml:space="preserve"> resgate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pelo</w:t>
      </w:r>
      <w:r w:rsidR="009C3FA7"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 xml:space="preserve"> SAMU para </w:t>
      </w:r>
      <w:r w:rsidR="007E72B9"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 xml:space="preserve">a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UPA.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Por causa de muitos casos de COVID-19 naquele hospital, a namorada do Requerente, Kate, chamou um UBER, o qual o levou para </w:t>
      </w:r>
      <w:r w:rsidR="009C3FA7"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o Hospital Prevent Senior</w:t>
      </w:r>
      <w:r w:rsidR="009C3FA7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onde lá permaneceu sob cuidados médicos.</w:t>
      </w:r>
    </w:p>
    <w:p w14:paraId="7D60F419" w14:textId="0B816383" w:rsidR="008B391E" w:rsidRPr="009B634C" w:rsidRDefault="008B391E" w:rsidP="009C3FA7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7DD358F3" w14:textId="32E16A03" w:rsidR="008B391E" w:rsidRPr="009B634C" w:rsidRDefault="008B391E" w:rsidP="009C3FA7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O Uber, que era conduzido pelo Sr. Victor Marzochi, relatou o ocorrido em seu depoimento e viu que o Recorrente não estava com sinais de embriaguez. Ele presenciou também o fato de que o policial devolveu a CNH ao Recorrente, ou seja, quer dizer que o mesmo a portava, diferentemente do que foi relatado no AIT.</w:t>
      </w:r>
    </w:p>
    <w:p w14:paraId="7E191FC1" w14:textId="24E42D72" w:rsidR="00485E93" w:rsidRPr="009B634C" w:rsidRDefault="00485E93" w:rsidP="009C3FA7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6180E8F2" w14:textId="6AECBE88" w:rsidR="00485E93" w:rsidRPr="009B634C" w:rsidRDefault="00485E93" w:rsidP="00485E93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Ora, após </w:t>
      </w:r>
      <w:r w:rsidR="008462CA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o atendimento médico, em casa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ao tentar entender o que aconteceu, o Recorrente falou com diversas pessoas que presenciaram o ocorrido</w:t>
      </w:r>
      <w:r w:rsidR="007E72B9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e as testemunhas disseram o que aconteceu, bem como a ausência de sinais de embriaguez no Recorrente.</w:t>
      </w:r>
    </w:p>
    <w:p w14:paraId="4430A8FD" w14:textId="19CFD80A" w:rsidR="007E6236" w:rsidRPr="009B634C" w:rsidRDefault="007E6236" w:rsidP="00485E93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559FC136" w14:textId="0F6760C4" w:rsidR="007E6236" w:rsidRPr="009B634C" w:rsidRDefault="007E6236" w:rsidP="00485E93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Vale dizer que em nenhum momento os policiais solicitaram que o Recorrente se submetesse ao teste do etilômetro. O condutor do caminhão envolvido </w:t>
      </w:r>
      <w:r w:rsidR="008462CA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no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acidente</w:t>
      </w:r>
      <w:r w:rsidR="008462CA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Sr. Rodrigo Nogueira de Souza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pode confirmar essa alegação</w:t>
      </w:r>
      <w:r w:rsidR="008462CA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no áudio em anexo.</w:t>
      </w:r>
    </w:p>
    <w:p w14:paraId="1758C363" w14:textId="434C628A" w:rsidR="007E72B9" w:rsidRPr="009B634C" w:rsidRDefault="007E72B9" w:rsidP="00485E93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677D23D0" w14:textId="48DBB97C" w:rsidR="007E6236" w:rsidRPr="009B634C" w:rsidRDefault="007E72B9" w:rsidP="007E6236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Ainda é válido dizer que no BO não foi, em momento algum, escrito que o condutor apresentava sinais de embriaguez, porém, depois, na notificação da autuação, </w:t>
      </w:r>
      <w:r w:rsidR="007E623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aparece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essa informação totalmente descabia</w:t>
      </w:r>
      <w:r w:rsidR="007E623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de que que o condutor apresentava UM sinal de embriaguez “forte odor etílico”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. </w:t>
      </w:r>
      <w:r w:rsidR="007E623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E mais, no BO tem a informação de o Recorrente disse que estava na faixa esquerda e depois que eu ele não se lembrava de nada, ora, um tanto contraditório né?!</w:t>
      </w:r>
    </w:p>
    <w:p w14:paraId="3067AC6E" w14:textId="144EBE66" w:rsidR="00E4632D" w:rsidRPr="009B634C" w:rsidRDefault="00E4632D" w:rsidP="007E6236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1FC98979" w14:textId="40DC94ED" w:rsidR="007E6236" w:rsidRPr="009B634C" w:rsidRDefault="00A05552" w:rsidP="007E6236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No</w:t>
      </w:r>
      <w:r w:rsidR="007E623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link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abaixo</w:t>
      </w:r>
      <w:r w:rsidR="007E623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é possível verificar os depoimentos das testemunhas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</w:t>
      </w:r>
      <w:r w:rsidR="007E623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os áudios trocados com o Recorrente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</w:t>
      </w:r>
      <w:r w:rsidR="007E623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sua namorada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e as testemunhas </w:t>
      </w:r>
      <w:r w:rsidR="007E6236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após o ocorrido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bem como cópia do Boletim de Ocorrência e laudo/exames do hospital.</w:t>
      </w:r>
    </w:p>
    <w:p w14:paraId="1EC74726" w14:textId="77DE0F18" w:rsidR="009C3FA7" w:rsidRPr="009B634C" w:rsidRDefault="009C3FA7" w:rsidP="00A170E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3B27C075" w14:textId="0AB847F8" w:rsidR="007E6236" w:rsidRPr="009B634C" w:rsidRDefault="00A05552" w:rsidP="00A170EA">
      <w:pP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Link: </w:t>
      </w:r>
      <w:r w:rsidR="00257F01" w:rsidRPr="009B634C">
        <w:rPr>
          <w:rFonts w:asciiTheme="minorHAnsi" w:eastAsia="Times New Roman" w:hAnsiTheme="minorHAnsi" w:cstheme="minorHAnsi"/>
          <w:color w:val="00B0F0"/>
          <w:sz w:val="20"/>
          <w:szCs w:val="20"/>
          <w:u w:val="single"/>
        </w:rPr>
        <w:t>https://drive.google.com/drive/folders/</w:t>
      </w:r>
      <w:r w:rsidRPr="009B634C">
        <w:rPr>
          <w:rFonts w:asciiTheme="minorHAnsi" w:eastAsia="Times New Roman" w:hAnsiTheme="minorHAnsi" w:cstheme="minorHAnsi"/>
          <w:color w:val="00B0F0"/>
          <w:sz w:val="20"/>
          <w:szCs w:val="20"/>
        </w:rPr>
        <w:t xml:space="preserve"> </w:t>
      </w:r>
    </w:p>
    <w:p w14:paraId="020742C2" w14:textId="77777777" w:rsidR="007E6236" w:rsidRPr="009B634C" w:rsidRDefault="007E6236" w:rsidP="00A170EA">
      <w:pP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196C8CC4" w14:textId="7D7395BF" w:rsidR="008462CA" w:rsidRPr="009B634C" w:rsidRDefault="00E4632D" w:rsidP="008462CA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>Deste modo, como narrado</w:t>
      </w:r>
      <w:r w:rsidR="008462CA" w:rsidRPr="009B634C">
        <w:rPr>
          <w:rFonts w:asciiTheme="minorHAnsi" w:hAnsiTheme="minorHAnsi" w:cstheme="minorHAnsi"/>
          <w:sz w:val="20"/>
          <w:szCs w:val="20"/>
        </w:rPr>
        <w:t>, ante a recusa</w:t>
      </w:r>
      <w:r w:rsidRPr="009B634C">
        <w:rPr>
          <w:rFonts w:asciiTheme="minorHAnsi" w:hAnsiTheme="minorHAnsi" w:cstheme="minorHAnsi"/>
          <w:sz w:val="20"/>
          <w:szCs w:val="20"/>
        </w:rPr>
        <w:t xml:space="preserve"> ao teste do etilômetro</w:t>
      </w:r>
      <w:r w:rsidR="008462CA" w:rsidRPr="009B634C">
        <w:rPr>
          <w:rFonts w:asciiTheme="minorHAnsi" w:hAnsiTheme="minorHAnsi" w:cstheme="minorHAnsi"/>
          <w:sz w:val="20"/>
          <w:szCs w:val="20"/>
        </w:rPr>
        <w:t>, o Recorrente foi autuado por suposta infração ao artigo 165-A, do CTB.</w:t>
      </w:r>
    </w:p>
    <w:p w14:paraId="69130325" w14:textId="77777777" w:rsidR="008462CA" w:rsidRPr="009B634C" w:rsidRDefault="008462CA" w:rsidP="00A170EA">
      <w:pP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4002FFC7" w14:textId="4F93FD83" w:rsidR="00A170EA" w:rsidRPr="009B634C" w:rsidRDefault="008462CA" w:rsidP="00A170EA">
      <w:pP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Porém, </w:t>
      </w:r>
      <w:r w:rsidR="00A170EA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não há motivos para a manutenção da autuação aqui em discussão, </w:t>
      </w:r>
      <w:r w:rsidR="00E4632D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como aqui exposto, </w:t>
      </w:r>
      <w:r w:rsidR="00A170EA"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devendo ser este AIT anulado e arquivado.</w:t>
      </w:r>
    </w:p>
    <w:p w14:paraId="74093C36" w14:textId="77777777" w:rsidR="00257F01" w:rsidRPr="009B634C" w:rsidRDefault="00257F01" w:rsidP="00A170EA">
      <w:pP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41C37885" w14:textId="1F3E4AEF" w:rsidR="00257F01" w:rsidRPr="009B634C" w:rsidRDefault="00257F01" w:rsidP="00A170EA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DA AUSÊNCIA DA DELIBERADA RECUSA </w:t>
      </w:r>
    </w:p>
    <w:p w14:paraId="156F1582" w14:textId="77777777" w:rsidR="00257F01" w:rsidRPr="009B634C" w:rsidRDefault="00257F01" w:rsidP="00A170EA">
      <w:pP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2BA26D42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Como já narrado, o Autor foi autuado, indevidamente, por suposto cometimento da infração de trânsito prevista no art. 165-A, CTB: </w:t>
      </w:r>
      <w:r w:rsidRPr="00257F01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>“Recusar-se a ser submetido a teste, exame clínico, perícia ou outro procedimento que permita certificar influência de álcool ou outra substância psicoativa [...]”. </w:t>
      </w:r>
    </w:p>
    <w:p w14:paraId="1146395F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4E13B46C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64FD74F0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color w:val="000000"/>
          <w:sz w:val="20"/>
          <w:szCs w:val="20"/>
        </w:rPr>
        <w:t>A infração ao art. 165-A do CTB tem como penalidades multa, no valor de R$ 2.934,70 e suspensão do direito de dirigir por 12 meses.</w:t>
      </w:r>
    </w:p>
    <w:p w14:paraId="6A7C15FE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3564A650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714D1A42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 xml:space="preserve">Ocorre que </w:t>
      </w:r>
      <w:r w:rsidRPr="00257F01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  <w:shd w:val="clear" w:color="auto" w:fill="FFFFFF"/>
        </w:rPr>
        <w:t>o Requerente, no dia do ocorrido, teve que ser socorrido devido às gravíssimas lesões em sua face, conforme documentos em anexo.</w:t>
      </w:r>
    </w:p>
    <w:p w14:paraId="35F555F4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1FEF54C6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  <w:shd w:val="clear" w:color="auto" w:fill="FFFF00"/>
        </w:rPr>
        <w:t>Nessa senda, a suposta recusa (se é que esta de fato ocorreu) ao teste do etilômetro se deu pelo fato de estar o Autor totalmente IMPOSSIBILITADO de realizar qualquer tipo de procedimento, uma vez que, além de estar desorientado, estava com sua cabeça, rosto e nariz muito machucados, de modo que era IMPOSSÍVEL realizar o teste supostamente oferecido a ele. </w:t>
      </w:r>
    </w:p>
    <w:p w14:paraId="3B93EF52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3550E9E4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7C29A624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Pois bem.</w:t>
      </w:r>
    </w:p>
    <w:p w14:paraId="64D7BCDF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43759259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É certo que a recusa ao teste do etilômetro deve acontecer de forma CONSCIENTE</w:t>
      </w:r>
      <w:r w:rsidRPr="00257F01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, isto é, o condutor, necessariamente, deve, no momento da recusa, estar em PLENO GOZO DE SUAS FACULDADES MENTAIS, de modo que ele escolha, de forma deliberada, por não fazer o teste do bafômetro. </w:t>
      </w:r>
      <w:r w:rsidRPr="00257F01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O que, conforme documentos anexados, não aconteceu no dia dos fatos. </w:t>
      </w:r>
    </w:p>
    <w:p w14:paraId="107C4A49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0B3A7FDB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color w:val="000000"/>
          <w:sz w:val="20"/>
          <w:szCs w:val="20"/>
        </w:rPr>
        <w:t>Vejamos o que prevê a Ficha do art. 165-A, CTB, do Manual Brasileiro de Fiscalização de Trânsito:</w:t>
      </w:r>
    </w:p>
    <w:p w14:paraId="5E47A3E9" w14:textId="77777777" w:rsidR="00257F01" w:rsidRPr="00257F01" w:rsidRDefault="00257F01" w:rsidP="00257F01">
      <w:pPr>
        <w:shd w:val="clear" w:color="auto" w:fill="FFFFFF"/>
        <w:spacing w:after="0" w:line="240" w:lineRule="auto"/>
        <w:ind w:firstLine="2551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7D681A0D" w14:textId="789DC0A0" w:rsidR="00257F01" w:rsidRPr="00257F01" w:rsidRDefault="00257F01" w:rsidP="00257F01">
      <w:pPr>
        <w:shd w:val="clear" w:color="auto" w:fill="FFFFFF"/>
        <w:spacing w:after="0" w:line="240" w:lineRule="auto"/>
        <w:ind w:firstLine="2551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noProof/>
          <w:color w:val="000000"/>
          <w:sz w:val="20"/>
          <w:szCs w:val="20"/>
          <w:bdr w:val="none" w:sz="0" w:space="0" w:color="auto" w:frame="1"/>
          <w:shd w:val="clear" w:color="auto" w:fill="FFFF00"/>
        </w:rPr>
        <w:lastRenderedPageBreak/>
        <w:drawing>
          <wp:inline distT="0" distB="0" distL="0" distR="0" wp14:anchorId="3EED2B49" wp14:editId="76E98B9B">
            <wp:extent cx="2647950" cy="2591435"/>
            <wp:effectExtent l="0" t="0" r="0" b="0"/>
            <wp:docPr id="120320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60F5" w14:textId="77777777" w:rsidR="00257F01" w:rsidRPr="00257F01" w:rsidRDefault="00257F01" w:rsidP="00257F0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0ABE8C32" w14:textId="77777777" w:rsidR="009B634C" w:rsidRPr="009B634C" w:rsidRDefault="009B634C" w:rsidP="009B634C">
      <w:pPr>
        <w:spacing w:before="240"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DOS PROCEDIMENTOS CAPAZES DE CERTIFICAR A INFLUÊNCIA DE ÁLCOOL</w:t>
      </w:r>
    </w:p>
    <w:p w14:paraId="4B1518CE" w14:textId="77777777" w:rsidR="009B634C" w:rsidRPr="009B634C" w:rsidRDefault="009B634C" w:rsidP="009B634C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03656AFC" w14:textId="77777777" w:rsidR="009B634C" w:rsidRPr="009B634C" w:rsidRDefault="009B634C" w:rsidP="009B634C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Analisando exegeticamente o dispositivo em tela, é possível concluir que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 xml:space="preserve"> a infração somente se configura se existirem indícios de embriaguez que deem causa à recusa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o que não ocorreu no caso da Requerente.</w:t>
      </w:r>
    </w:p>
    <w:p w14:paraId="64C5F859" w14:textId="77777777" w:rsidR="009B634C" w:rsidRPr="009B634C" w:rsidRDefault="009B634C" w:rsidP="009B634C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19D54E05" w14:textId="77777777" w:rsidR="009B634C" w:rsidRPr="009B634C" w:rsidRDefault="009B634C" w:rsidP="009B634C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A Resolução 432, do CONTRAN, estabelece o exame de sangue, os exames laboratoriais, o teste em aparelho de etilômetro ou a verificação dos sinais que indiquem a alteração da capacidade psicomotora e prova testemunhal como formas de confirmar a embriaguez.</w:t>
      </w:r>
    </w:p>
    <w:p w14:paraId="271EC792" w14:textId="77777777" w:rsidR="009B634C" w:rsidRPr="009B634C" w:rsidRDefault="009B634C" w:rsidP="009B634C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62DAF6E4" w14:textId="77777777" w:rsidR="009B634C" w:rsidRPr="009B634C" w:rsidRDefault="009B634C" w:rsidP="009B634C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Ou, no caso da infração ao art. 165-A do CTB, a RECUSA a algum desses procedimentos.</w:t>
      </w:r>
    </w:p>
    <w:p w14:paraId="053E7447" w14:textId="77777777" w:rsidR="009B634C" w:rsidRPr="009B634C" w:rsidRDefault="009B634C" w:rsidP="009B634C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47FF8D67" w14:textId="77777777" w:rsidR="009B634C" w:rsidRPr="009B634C" w:rsidRDefault="009B634C" w:rsidP="009B634C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Ocorre que, como narrado, o Recorrente NÃO SE NEGOU a realizar nenhum dos procedimentos, mas apenas ao teste do etilômetro.</w:t>
      </w:r>
    </w:p>
    <w:p w14:paraId="31E07871" w14:textId="77777777" w:rsidR="009B634C" w:rsidRPr="009B634C" w:rsidRDefault="009B634C" w:rsidP="009B634C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0B796098" w14:textId="77777777" w:rsidR="009B634C" w:rsidRPr="009B634C" w:rsidRDefault="009B634C" w:rsidP="009B634C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</w:rPr>
        <w:t>DA INFRAÇÃO</w:t>
      </w:r>
    </w:p>
    <w:p w14:paraId="4A7B5D04" w14:textId="77777777" w:rsidR="009B634C" w:rsidRPr="009B634C" w:rsidRDefault="009B634C" w:rsidP="009B634C">
      <w:pPr>
        <w:spacing w:before="240"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O Auto de Infração de Trânsito aqui em discussão deve ser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ANULADO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uma vez que descumpre o que está prescrito no artigo 277, do CTB, bem como aos artigos 5° e 8° da Resolução n° 432 do CONTRAN, vejamos:</w:t>
      </w:r>
    </w:p>
    <w:p w14:paraId="79AC4C53" w14:textId="77777777" w:rsidR="009B634C" w:rsidRPr="009B634C" w:rsidRDefault="009B634C" w:rsidP="009B634C">
      <w:pPr>
        <w:spacing w:before="240"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61F8FF3E" w14:textId="77777777" w:rsidR="009B634C" w:rsidRPr="009B634C" w:rsidRDefault="009B634C" w:rsidP="009B634C">
      <w:pPr>
        <w:shd w:val="clear" w:color="auto" w:fill="FFFFFF"/>
        <w:spacing w:after="0" w:line="240" w:lineRule="auto"/>
        <w:ind w:left="114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 xml:space="preserve">Art. 277. O condutor de veículo automotor envolvido em acidente de trânsito ou que for alvo de fiscalização de trânsito poderá ser submetido a </w:t>
      </w: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  <w:u w:val="single"/>
        </w:rPr>
        <w:t>teste, exame clínico, perícia ou outro procedimento que, por meios técnicos ou científicos, na forma disciplinada pelo Contran, permita certificar</w:t>
      </w:r>
      <w:r w:rsidRPr="009B634C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 xml:space="preserve"> influência de álcool ou outra substância psicoativa que determine dependência.</w:t>
      </w:r>
    </w:p>
    <w:p w14:paraId="2864C75D" w14:textId="77777777" w:rsidR="009B634C" w:rsidRPr="009B634C" w:rsidRDefault="009B634C" w:rsidP="009B634C">
      <w:pPr>
        <w:spacing w:before="240"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Ora, o Recorrente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não se recusou a se submeter a nenhum dos demais procedimentos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previstos no art. 277 do CTB, mas apenas ao teste do etilômetro, inclusive por duvidar da higiene do equipamento.</w:t>
      </w:r>
    </w:p>
    <w:p w14:paraId="3D410C75" w14:textId="77777777" w:rsidR="009B634C" w:rsidRPr="009B634C" w:rsidRDefault="009B634C" w:rsidP="009B634C">
      <w:pPr>
        <w:spacing w:before="240"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Vejamos o entendimento dos Tribunais nesse sentido:</w:t>
      </w:r>
    </w:p>
    <w:p w14:paraId="0387BDE6" w14:textId="77777777" w:rsidR="009B634C" w:rsidRPr="009B634C" w:rsidRDefault="009B634C" w:rsidP="009B634C">
      <w:pPr>
        <w:spacing w:before="240"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098CC86C" w14:textId="77777777" w:rsidR="009B634C" w:rsidRPr="009B634C" w:rsidRDefault="009B634C" w:rsidP="009B634C">
      <w:pPr>
        <w:spacing w:after="0" w:line="240" w:lineRule="auto"/>
        <w:ind w:left="114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  <w:u w:val="single"/>
        </w:rPr>
        <w:t>“Com efeito,</w:t>
      </w: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  <w:u w:val="single"/>
          <w:shd w:val="clear" w:color="auto" w:fill="FFFF00"/>
        </w:rPr>
        <w:t xml:space="preserve"> a jurisprudência vem se inclinando pelo entendimento de que a infração administrativa em aceno apenas se consuma se o condutor do veículo automotor se recusar a fazer o teste do etilômetro e eventual exame clínico.</w:t>
      </w: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  <w:u w:val="single"/>
        </w:rPr>
        <w:t xml:space="preserve"> Com a dupla recusa, tem-se por consumada a infração.”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(TJSP, Juizado Especial Cível de Vargem Grande do Sul, Decisão Interlocutória, Proc. nº. 1001744-28.2022.8.26.0653, Juiz de Direito Dr. Guilherme Martins Damini, Data de julgamento: 12/09/2022, Publicação: DJe 27/09/2022).</w:t>
      </w:r>
    </w:p>
    <w:p w14:paraId="78F17C9F" w14:textId="77777777" w:rsidR="009B634C" w:rsidRPr="009B634C" w:rsidRDefault="009B634C" w:rsidP="009B634C">
      <w:pPr>
        <w:spacing w:before="240"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Desta forma, não basta que o condutor tenha se recusado a fazer apenas o teste do etilômetro, mas sim que também tenha se negado a fazer eventual exame clínico. </w:t>
      </w:r>
    </w:p>
    <w:p w14:paraId="6346D21A" w14:textId="77777777" w:rsidR="009B634C" w:rsidRPr="009B634C" w:rsidRDefault="009B634C" w:rsidP="009B634C">
      <w:pPr>
        <w:spacing w:before="240"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Sendo necessária, portanto,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 xml:space="preserve">a DUPLA RECUSA para a caracterização da infração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administrativa prevista no art. 165-A, CTB, que aqui impugnamos.</w:t>
      </w:r>
    </w:p>
    <w:p w14:paraId="2EF7107B" w14:textId="77777777" w:rsidR="009B634C" w:rsidRPr="009B634C" w:rsidRDefault="009B634C" w:rsidP="009B634C">
      <w:pPr>
        <w:spacing w:before="240"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lastRenderedPageBreak/>
        <w:t>Nesse diapasão, não houve o cometimento da infração prevista no art. 165-A, CTB, de modo que DEVE o AIT em discussão ser ANULADO e ARQUIVADO, eis que atípica a conduta do Requerente ante a ausência de dupla recusa, com fulcro no art. 281, CTB.</w:t>
      </w:r>
    </w:p>
    <w:p w14:paraId="76E3520B" w14:textId="77777777" w:rsidR="009B634C" w:rsidRDefault="009B634C" w:rsidP="009B634C">
      <w:pP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6AF6D777" w14:textId="7E8607B9" w:rsidR="009B634C" w:rsidRPr="00257F01" w:rsidRDefault="009B634C" w:rsidP="009B634C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color w:val="000000"/>
          <w:sz w:val="20"/>
          <w:szCs w:val="20"/>
        </w:rPr>
        <w:t>Desta forma, não basta que o condutor tenha se recusado a fazer apenas o teste do etilômetro, mas sim que também tenha se negado, de forma consciente/deliberada, a fazer eventual exame clínico. Sendo necessária, portanto, a DUPLA RECUSA para a caracterização da infração administrativa prevista no art. 165-A, CTB, que aqui impugnamos. </w:t>
      </w:r>
    </w:p>
    <w:p w14:paraId="752FF05C" w14:textId="77777777" w:rsidR="009B634C" w:rsidRDefault="009B634C" w:rsidP="009B634C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</w:pPr>
    </w:p>
    <w:p w14:paraId="0F5933BF" w14:textId="09CF6A5C" w:rsidR="009B634C" w:rsidRPr="00257F01" w:rsidRDefault="009B634C" w:rsidP="009B634C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Nesse sentido, recente acórdão (em anexo) proferido pela 13ª Câmara de Direito Público do Tribunal de Justiça de São Paulo: </w:t>
      </w:r>
    </w:p>
    <w:p w14:paraId="6C22D2AB" w14:textId="1BF14EF4" w:rsidR="009B634C" w:rsidRPr="00257F01" w:rsidRDefault="009B634C" w:rsidP="009B634C">
      <w:pPr>
        <w:spacing w:after="24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0EF8D160" w14:textId="77777777" w:rsidR="009B634C" w:rsidRPr="00257F01" w:rsidRDefault="009B634C" w:rsidP="009B634C">
      <w:pPr>
        <w:spacing w:after="0" w:line="240" w:lineRule="auto"/>
        <w:ind w:left="3118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 xml:space="preserve">APELAÇÃO CÍVEL E REEXAME NECESSÁRIO. MANDADO DE SEGURANÇA. CNH. CASSAÇÃO DO DIREITO DE DIRIGIR. Pretensão à anulação do ato administrativo. Impetrante autuado pela infração do art. 165-A, do CTB, por ter se recusado a fazer o teste de etilômetro. </w:t>
      </w:r>
      <w:r w:rsidRPr="00257F01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  <w:u w:val="single"/>
          <w:shd w:val="clear" w:color="auto" w:fill="FFFF00"/>
        </w:rPr>
        <w:t>Hipótese na qual não foram ofertados ao condutor outros exames previstos no “caput” do art. 277</w:t>
      </w:r>
      <w:r w:rsidRPr="00257F01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 xml:space="preserve">, não havendo tampouco, no auto de infração, descrição de elementos ou detalhes acerca de seu comportamento e condições que atestassem sinais resultantes do consumo de álcool. Aplicação do princípio “nemo tenetur se detegere”, o direito de não-autoincriminação, o qual preconiza que ninguém está obrigado a produzir prova contra si mesmo. Impossibilidade de se obrigar o condutor do veículo a ceder sangue ou soprar o bafômetro, pois são atos que envolvem o seu corpo e exigem postura ativa. </w:t>
      </w:r>
      <w:r w:rsidRPr="00257F01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  <w:u w:val="single"/>
          <w:shd w:val="clear" w:color="auto" w:fill="FFFF00"/>
        </w:rPr>
        <w:t>Infração do art. 277, § 3º, do CTB, que se configura apenas se houver também recusa ao exame clínico, realizado por médico legista, o que não se verificou no caso em exame.</w:t>
      </w:r>
      <w:r w:rsidRPr="00257F01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 xml:space="preserve"> Auto de infração viciado. Configurada a violação a direito líquido e certo. Precedentes deste TJSP. Concessão da segurança. Sentença mantida. Recursos não providos.</w:t>
      </w:r>
    </w:p>
    <w:p w14:paraId="7A850F09" w14:textId="77777777" w:rsidR="009B634C" w:rsidRPr="00257F01" w:rsidRDefault="009B634C" w:rsidP="009B634C">
      <w:pPr>
        <w:shd w:val="clear" w:color="auto" w:fill="FFFFFF"/>
        <w:spacing w:after="0" w:line="240" w:lineRule="auto"/>
        <w:ind w:firstLine="2552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5D9ED131" w14:textId="77777777" w:rsidR="009B634C" w:rsidRPr="00257F01" w:rsidRDefault="009B634C" w:rsidP="009B634C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257F01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Mister destacar que </w:t>
      </w:r>
      <w:r w:rsidRPr="00257F01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a simples recusa ao teste do etilômetro não constitui a infração administrativa, ainda mais levando-se em consideração que a suposta recusa se deu de forma inconsistente. </w:t>
      </w:r>
    </w:p>
    <w:p w14:paraId="30CC27A2" w14:textId="77777777" w:rsidR="009B634C" w:rsidRPr="009B634C" w:rsidRDefault="009B634C" w:rsidP="009B634C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573FFAC6" w14:textId="77777777" w:rsidR="009B634C" w:rsidRDefault="009B634C" w:rsidP="009B634C">
      <w:pPr>
        <w:spacing w:before="240"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Assim, requer seja o AIT em questão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ANULADO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e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 ARQUIVADO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uma vez que descumpre o que está prescrito no artigo 277, do CTB, bem como aos artigos 5° e 8° da Resolução n° 432 do CONTRAN.</w:t>
      </w:r>
    </w:p>
    <w:p w14:paraId="4C8471B2" w14:textId="77777777" w:rsidR="009B634C" w:rsidRDefault="009B634C" w:rsidP="009B634C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2CFC9C7C" w14:textId="77777777" w:rsidR="002E484D" w:rsidRPr="009B634C" w:rsidRDefault="002E484D" w:rsidP="009B634C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100A857F" w14:textId="77777777" w:rsidR="009B634C" w:rsidRPr="009B634C" w:rsidRDefault="009B634C" w:rsidP="009B634C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</w:rPr>
        <w:t>DA VIOLAÇÃO AO MANUAL BRASILEIRO DE FISCALIZAÇÃO DE TRÂNSITO - MBFT</w:t>
      </w:r>
    </w:p>
    <w:p w14:paraId="7EB005B7" w14:textId="77777777" w:rsidR="009B634C" w:rsidRPr="009B634C" w:rsidRDefault="009B634C" w:rsidP="009B634C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41D8409B" w14:textId="77777777" w:rsidR="009B634C" w:rsidRPr="009B634C" w:rsidRDefault="009B634C" w:rsidP="009B634C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O Manual Brasileiro de Fiscalização de Trânsito, o qual prevê de forma detalhada a conduta a ser adotada pelos agentes na fiscalização de infrações de trânsito, na ficha correspondente ao art. 165-A do CTB, enquadramento n° 757-90, prevê que em caso de recusa ao teste do etilômetro, não é obrigatória a emissão do registro da recusa,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sendo necessária, entretanto, a menção à marca, modelo e número de série do aparelho ofertado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vejamos:</w:t>
      </w:r>
    </w:p>
    <w:p w14:paraId="20334F5B" w14:textId="77777777" w:rsidR="009B634C" w:rsidRPr="009B634C" w:rsidRDefault="009B634C" w:rsidP="009B634C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6B780FC0" w14:textId="73DE25DE" w:rsidR="009B634C" w:rsidRPr="009B634C" w:rsidRDefault="009B634C" w:rsidP="009B634C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  <w:r w:rsidRPr="009B634C">
        <w:rPr>
          <w:rFonts w:asciiTheme="minorHAnsi" w:eastAsia="Times New Roman" w:hAnsiTheme="minorHAnsi" w:cstheme="minorHAns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156A55B1" wp14:editId="23A45F06">
            <wp:extent cx="1716405" cy="1374140"/>
            <wp:effectExtent l="0" t="0" r="0" b="0"/>
            <wp:docPr id="92369878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40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33B4" w14:textId="77777777" w:rsidR="009B634C" w:rsidRPr="009B634C" w:rsidRDefault="009B634C" w:rsidP="009B634C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61298370" w14:textId="77777777" w:rsidR="009B634C" w:rsidRPr="009B634C" w:rsidRDefault="009B634C" w:rsidP="009B634C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Ocorre que não consta no auto de infração lavrado em desfavor do Recorrente qualquer anotação quanto ao número de série do equipamento, vejamos:</w:t>
      </w:r>
    </w:p>
    <w:p w14:paraId="10A4540E" w14:textId="77777777" w:rsidR="009B634C" w:rsidRPr="009B634C" w:rsidRDefault="009B634C" w:rsidP="009B634C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0B3953F0" w14:textId="050F108A" w:rsidR="009B634C" w:rsidRPr="009B634C" w:rsidRDefault="009B634C" w:rsidP="009B634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lastRenderedPageBreak/>
        <w:t> </w:t>
      </w:r>
      <w:r w:rsidRPr="009B634C">
        <w:rPr>
          <w:rFonts w:asciiTheme="minorHAnsi" w:eastAsia="Times New Roman" w:hAnsiTheme="minorHAnsi" w:cstheme="minorHAns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2B6632FB" wp14:editId="29C1A621">
            <wp:extent cx="3797935" cy="2620010"/>
            <wp:effectExtent l="0" t="0" r="0" b="8890"/>
            <wp:docPr id="1771437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D02A" w14:textId="77777777" w:rsidR="009B634C" w:rsidRPr="009B634C" w:rsidRDefault="009B634C" w:rsidP="009B634C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441FBB04" w14:textId="77777777" w:rsidR="009B634C" w:rsidRPr="009B634C" w:rsidRDefault="009B634C" w:rsidP="009B634C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Assim, há nítida violação do que determina a legislação de trânsito, sendo, portanto,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u w:val="single"/>
        </w:rPr>
        <w:t>caso de nulidade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, uma vez que a administração pública está adstrita ao Princípio da Legalidade.</w:t>
      </w:r>
    </w:p>
    <w:p w14:paraId="1056678A" w14:textId="77777777" w:rsidR="009B634C" w:rsidRPr="009B634C" w:rsidRDefault="009B634C" w:rsidP="009B634C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5DCEDFDD" w14:textId="77777777" w:rsidR="009B634C" w:rsidRPr="009B634C" w:rsidRDefault="009B634C" w:rsidP="009B634C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Assim, pelo exposto e, nos termos do previsto no art. 37 da Constituição Federal, bem como no art. 281 do CTB, é justo que seja reconhecida a nulidade deste auto de infração.</w:t>
      </w:r>
    </w:p>
    <w:p w14:paraId="4ADD227D" w14:textId="77777777" w:rsidR="00257F01" w:rsidRPr="009B634C" w:rsidRDefault="00257F01" w:rsidP="00257F01">
      <w:pP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25A1FDE3" w14:textId="77777777" w:rsidR="00F03BC4" w:rsidRPr="009B634C" w:rsidRDefault="00F03BC4" w:rsidP="00F03BC4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b/>
          <w:i/>
          <w:sz w:val="20"/>
          <w:szCs w:val="20"/>
          <w:u w:val="single"/>
        </w:rPr>
        <w:t>PEDIDO DE DILIGÊNCIA</w:t>
      </w:r>
    </w:p>
    <w:p w14:paraId="5295BDA3" w14:textId="77777777" w:rsidR="00F03BC4" w:rsidRPr="009B634C" w:rsidRDefault="00F03BC4" w:rsidP="00F03BC4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5598FDB1" w14:textId="77777777" w:rsidR="00F03BC4" w:rsidRPr="009B634C" w:rsidRDefault="00F03BC4" w:rsidP="00F03BC4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 xml:space="preserve">Segundo a Portaria n° 966 de julho de 2022 da SENATRAN, os agentes que executem atividades de fiscalização devem ser aprovados </w:t>
      </w:r>
      <w:r w:rsidRPr="009B634C">
        <w:rPr>
          <w:rFonts w:asciiTheme="minorHAnsi" w:hAnsiTheme="minorHAnsi" w:cstheme="minorHAnsi"/>
          <w:b/>
          <w:bCs/>
          <w:sz w:val="20"/>
          <w:szCs w:val="20"/>
          <w:u w:val="single"/>
        </w:rPr>
        <w:t>no Curso de Agente de Trânsito</w:t>
      </w:r>
      <w:r w:rsidRPr="009B634C">
        <w:rPr>
          <w:rFonts w:asciiTheme="minorHAnsi" w:hAnsiTheme="minorHAnsi" w:cstheme="minorHAnsi"/>
          <w:sz w:val="20"/>
          <w:szCs w:val="20"/>
        </w:rPr>
        <w:t xml:space="preserve"> que devem ser realizados a cada 3 anos, segundo o que regulamenta a referida Portaria.</w:t>
      </w:r>
    </w:p>
    <w:p w14:paraId="69494338" w14:textId="77777777" w:rsidR="00F03BC4" w:rsidRPr="009B634C" w:rsidRDefault="00F03BC4" w:rsidP="00F03BC4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3AA4A5F8" w14:textId="77777777" w:rsidR="00F03BC4" w:rsidRPr="009B634C" w:rsidRDefault="00F03BC4" w:rsidP="00F03BC4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 xml:space="preserve">Assim, solicita o Recorrente a este órgão, que verifique se o agente de trânsito de RE/RG nº </w:t>
      </w:r>
      <w:r w:rsidRPr="009B634C">
        <w:rPr>
          <w:rFonts w:asciiTheme="minorHAnsi" w:hAnsiTheme="minorHAnsi" w:cstheme="minorHAnsi"/>
          <w:color w:val="FF0000"/>
          <w:sz w:val="20"/>
          <w:szCs w:val="20"/>
        </w:rPr>
        <w:t>XXXXXXXXXXX</w:t>
      </w:r>
      <w:r w:rsidRPr="009B634C">
        <w:rPr>
          <w:rFonts w:asciiTheme="minorHAnsi" w:hAnsiTheme="minorHAnsi" w:cstheme="minorHAnsi"/>
          <w:sz w:val="20"/>
          <w:szCs w:val="20"/>
        </w:rPr>
        <w:t>, foi submetido e aprovado no curso, conforme previsão da Portaria nº 966 da SENATRAN.</w:t>
      </w:r>
    </w:p>
    <w:p w14:paraId="597FE0C7" w14:textId="77777777" w:rsidR="00F03BC4" w:rsidRPr="009B634C" w:rsidRDefault="00F03BC4" w:rsidP="00F03BC4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19DF094A" w14:textId="77777777" w:rsidR="00F03BC4" w:rsidRPr="009B634C" w:rsidRDefault="00F03BC4" w:rsidP="00F03BC4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>Tal irregularidade ofende à competência do ato administrativo, bem como ao que determina à SENATRAN desde julho do corrente ano, cabendo, inclusive, denúncia à SENATRAN eventual irregularidade.</w:t>
      </w:r>
    </w:p>
    <w:p w14:paraId="1C740AF1" w14:textId="77777777" w:rsidR="00F03BC4" w:rsidRPr="009B634C" w:rsidRDefault="00F03BC4" w:rsidP="00F03BC4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2AD475BA" w14:textId="77777777" w:rsidR="00F03BC4" w:rsidRPr="009B634C" w:rsidRDefault="00F03BC4" w:rsidP="00F03BC4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>Ainda, necessário se faz mencionar os artigos 28 e 30 da Lei de Introdução às Normas do Direito Brasileiro (LINDB), vejamos:</w:t>
      </w:r>
    </w:p>
    <w:p w14:paraId="33B5208F" w14:textId="77777777" w:rsidR="00F03BC4" w:rsidRPr="009B634C" w:rsidRDefault="00F03BC4" w:rsidP="00F03BC4">
      <w:pPr>
        <w:spacing w:after="0" w:line="240" w:lineRule="auto"/>
        <w:ind w:left="-566"/>
        <w:rPr>
          <w:rFonts w:asciiTheme="minorHAnsi" w:eastAsia="Times New Roman" w:hAnsiTheme="minorHAnsi" w:cstheme="minorHAnsi"/>
          <w:sz w:val="20"/>
          <w:szCs w:val="20"/>
        </w:rPr>
      </w:pPr>
    </w:p>
    <w:p w14:paraId="46AEEC6F" w14:textId="77777777" w:rsidR="00F03BC4" w:rsidRPr="009B634C" w:rsidRDefault="00F03BC4" w:rsidP="00F03BC4">
      <w:pPr>
        <w:spacing w:after="0" w:line="240" w:lineRule="auto"/>
        <w:ind w:left="113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i/>
          <w:sz w:val="20"/>
          <w:szCs w:val="20"/>
        </w:rPr>
        <w:t xml:space="preserve">Art. 28.  O agente público responderá pessoalmente por suas decisões ou opiniões técnicas em caso de dolo ou </w:t>
      </w:r>
      <w:r w:rsidRPr="009B634C">
        <w:rPr>
          <w:rFonts w:asciiTheme="minorHAnsi" w:hAnsiTheme="minorHAnsi" w:cstheme="minorHAnsi"/>
          <w:b/>
          <w:i/>
          <w:sz w:val="20"/>
          <w:szCs w:val="20"/>
          <w:u w:val="single"/>
        </w:rPr>
        <w:t>erro grosseiro.</w:t>
      </w:r>
    </w:p>
    <w:p w14:paraId="3FB13A09" w14:textId="77777777" w:rsidR="00F03BC4" w:rsidRPr="009B634C" w:rsidRDefault="00F03BC4" w:rsidP="00F03BC4">
      <w:pPr>
        <w:spacing w:after="0" w:line="240" w:lineRule="auto"/>
        <w:ind w:left="113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i/>
          <w:sz w:val="20"/>
          <w:szCs w:val="20"/>
        </w:rPr>
        <w:t>[…]</w:t>
      </w:r>
    </w:p>
    <w:p w14:paraId="0D0C51B3" w14:textId="77777777" w:rsidR="00F03BC4" w:rsidRPr="009B634C" w:rsidRDefault="00F03BC4" w:rsidP="00F03BC4">
      <w:pPr>
        <w:spacing w:after="0" w:line="240" w:lineRule="auto"/>
        <w:ind w:left="113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i/>
          <w:sz w:val="20"/>
          <w:szCs w:val="20"/>
        </w:rPr>
        <w:t xml:space="preserve">Art. 30.  As autoridades públicas </w:t>
      </w:r>
      <w:r w:rsidRPr="009B634C">
        <w:rPr>
          <w:rFonts w:asciiTheme="minorHAnsi" w:hAnsiTheme="minorHAnsi" w:cstheme="minorHAnsi"/>
          <w:b/>
          <w:i/>
          <w:sz w:val="20"/>
          <w:szCs w:val="20"/>
          <w:u w:val="single"/>
        </w:rPr>
        <w:t>devem atuar para aumentar a segurança jurídica na aplicação das normas</w:t>
      </w:r>
      <w:r w:rsidRPr="009B634C">
        <w:rPr>
          <w:rFonts w:asciiTheme="minorHAnsi" w:hAnsiTheme="minorHAnsi" w:cstheme="minorHAnsi"/>
          <w:i/>
          <w:sz w:val="20"/>
          <w:szCs w:val="20"/>
        </w:rPr>
        <w:t>, inclusive por meio de regulamentos, súmulas administrativas e respostas a consultas.    </w:t>
      </w:r>
    </w:p>
    <w:p w14:paraId="2CA6FF1E" w14:textId="77777777" w:rsidR="00F03BC4" w:rsidRPr="009B634C" w:rsidRDefault="00F03BC4" w:rsidP="00F03BC4">
      <w:pPr>
        <w:spacing w:after="0" w:line="240" w:lineRule="auto"/>
        <w:ind w:left="-566"/>
        <w:rPr>
          <w:rFonts w:asciiTheme="minorHAnsi" w:eastAsia="Times New Roman" w:hAnsiTheme="minorHAnsi" w:cstheme="minorHAnsi"/>
          <w:sz w:val="20"/>
          <w:szCs w:val="20"/>
        </w:rPr>
      </w:pPr>
    </w:p>
    <w:p w14:paraId="1D95F97E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 xml:space="preserve">Como narrado, o AIT aqui em discussão ofende à segurança jurídica, conforme demonstrado, pelo que se requer, sob pena de responsabilidade, a nulidade do AIT n° </w:t>
      </w:r>
      <w:r w:rsidRPr="009B634C">
        <w:rPr>
          <w:rFonts w:asciiTheme="minorHAnsi" w:hAnsiTheme="minorHAnsi" w:cstheme="minorHAnsi"/>
          <w:color w:val="FF0000"/>
          <w:sz w:val="20"/>
          <w:szCs w:val="20"/>
          <w:u w:val="single"/>
        </w:rPr>
        <w:t>XXXXXXXXXXXX</w:t>
      </w:r>
      <w:r w:rsidRPr="009B634C">
        <w:rPr>
          <w:rFonts w:asciiTheme="minorHAnsi" w:hAnsiTheme="minorHAnsi" w:cstheme="minorHAnsi"/>
          <w:sz w:val="20"/>
          <w:szCs w:val="20"/>
        </w:rPr>
        <w:t>.</w:t>
      </w:r>
    </w:p>
    <w:p w14:paraId="1D911737" w14:textId="77777777" w:rsidR="00F03BC4" w:rsidRPr="009B634C" w:rsidRDefault="00F03BC4" w:rsidP="00F03B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6234548C" w14:textId="77777777" w:rsidR="00F03BC4" w:rsidRPr="009B634C" w:rsidRDefault="00F03BC4" w:rsidP="00F03B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9B634C">
        <w:rPr>
          <w:rFonts w:asciiTheme="minorHAnsi" w:hAnsiTheme="minorHAnsi" w:cstheme="minorHAnsi"/>
          <w:color w:val="000000"/>
          <w:sz w:val="20"/>
          <w:szCs w:val="20"/>
        </w:rPr>
        <w:t>Assim, deve este Processo Administrativo ser anulado pois a autuação que acarretou tal penalidade é inexistente.</w:t>
      </w:r>
    </w:p>
    <w:p w14:paraId="0C9C6836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Style w:val="nfase"/>
          <w:rFonts w:asciiTheme="minorHAnsi" w:hAnsiTheme="minorHAnsi" w:cstheme="minorHAnsi"/>
          <w:i w:val="0"/>
          <w:iCs w:val="0"/>
          <w:color w:val="FF0000"/>
          <w:sz w:val="20"/>
          <w:szCs w:val="20"/>
          <w:shd w:val="clear" w:color="auto" w:fill="FFFFFF"/>
        </w:rPr>
      </w:pPr>
    </w:p>
    <w:p w14:paraId="6756A1ED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shd w:val="clear" w:color="auto" w:fill="FFFFFF"/>
        </w:rPr>
      </w:pPr>
    </w:p>
    <w:p w14:paraId="018EF7CA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</w:rPr>
        <w:t>Do efeito suspensivo</w:t>
      </w:r>
    </w:p>
    <w:p w14:paraId="64C4A911" w14:textId="77777777" w:rsidR="00F03BC4" w:rsidRPr="009B634C" w:rsidRDefault="00F03BC4" w:rsidP="00F03BC4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6796E337" w14:textId="77777777" w:rsidR="00F03BC4" w:rsidRPr="009B634C" w:rsidRDefault="00F03BC4" w:rsidP="00F03BC4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Requer seja concedido efeito suspensivo à penalidade em questão, nos termos do art. 285 </w:t>
      </w:r>
      <w:r w:rsidRPr="009B634C">
        <w:rPr>
          <w:rFonts w:asciiTheme="minorHAnsi" w:eastAsia="Times New Roman" w:hAnsiTheme="minorHAnsi" w:cstheme="minorHAnsi"/>
          <w:color w:val="FF0000"/>
          <w:sz w:val="20"/>
          <w:szCs w:val="20"/>
        </w:rPr>
        <w:t xml:space="preserve">(se for recurso à JARI) ou 290 (se for defesa prévia ou recurso em 2ª instância)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do CTB, requer seja concedido o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efeito suspensivo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à penalidade em questão.</w:t>
      </w:r>
    </w:p>
    <w:p w14:paraId="2297ABD2" w14:textId="77777777" w:rsidR="00F03BC4" w:rsidRPr="009B634C" w:rsidRDefault="00F03BC4" w:rsidP="00F03BC4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2FA74DEA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>Art. 285. O recurso contra a penalidade imposta nos termos do art. 282 deste Código será interposto perante a autoridade que imputou a penalidade e terá efeito suspensivo.</w:t>
      </w:r>
    </w:p>
    <w:p w14:paraId="4064CD72" w14:textId="77777777" w:rsidR="00F03BC4" w:rsidRPr="009B634C" w:rsidRDefault="00F03BC4" w:rsidP="00F03BC4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762A542B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DO PEDIDO</w:t>
      </w:r>
    </w:p>
    <w:p w14:paraId="50EBF9F2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07E08A5D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lastRenderedPageBreak/>
        <w:t>Assim, diante do exposto acima, e dos fundamentos legais apresentados para provar as suas razões, o recorrente REQUER a esta autoridade de trânsito, o seguinte:</w:t>
      </w:r>
    </w:p>
    <w:p w14:paraId="4C28D645" w14:textId="77777777" w:rsidR="00F03BC4" w:rsidRPr="009B634C" w:rsidRDefault="00F03BC4" w:rsidP="00F03BC4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55B0EFA7" w14:textId="77777777" w:rsidR="00F03BC4" w:rsidRPr="009B634C" w:rsidRDefault="00F03BC4" w:rsidP="00F03BC4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ind w:left="709" w:hanging="709"/>
        <w:contextualSpacing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DO JULGAMENTO: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solicita que seja concedido efeito suspensivo ao recurso, nos termos do art. 285/290 do CTB;</w:t>
      </w:r>
    </w:p>
    <w:p w14:paraId="7FE6CAA8" w14:textId="77777777" w:rsidR="00F03BC4" w:rsidRPr="009B634C" w:rsidRDefault="00F03BC4" w:rsidP="00F03BC4">
      <w:pPr>
        <w:shd w:val="clear" w:color="auto" w:fill="FFFFFF"/>
        <w:spacing w:after="0" w:line="240" w:lineRule="auto"/>
        <w:ind w:left="426" w:hanging="425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53F98BF0" w14:textId="77777777" w:rsidR="00F03BC4" w:rsidRPr="009B634C" w:rsidRDefault="00F03BC4" w:rsidP="00F03BC4">
      <w:pPr>
        <w:numPr>
          <w:ilvl w:val="0"/>
          <w:numId w:val="3"/>
        </w:numPr>
        <w:shd w:val="clear" w:color="auto" w:fill="FFFFFF"/>
        <w:spacing w:after="0" w:line="240" w:lineRule="auto"/>
        <w:ind w:left="709" w:hanging="567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DA CIÊNCIA DA DECISÃO: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O Recorrente requer que seja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u w:val="single"/>
        </w:rPr>
        <w:t>informado sobre a decisão proferida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sobre o processo administrativo, no prazo de 10 (dez) dias úteis, devidamente fundamentada pelo chefe da seção, contendo todos os pareceres dos componentes;</w:t>
      </w:r>
    </w:p>
    <w:p w14:paraId="277A483C" w14:textId="77777777" w:rsidR="00F03BC4" w:rsidRPr="009B634C" w:rsidRDefault="00F03BC4" w:rsidP="00F03BC4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</w:p>
    <w:p w14:paraId="1931FBAB" w14:textId="77777777" w:rsidR="00F03BC4" w:rsidRPr="009B634C" w:rsidRDefault="00F03BC4" w:rsidP="00F03BC4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DO ENVIO DE CÓPIAS: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A Recorrente requer seja enviado a cópia do processo administrativo de julgamento dessa peça recursal, no caso de indeferimento dos pedidos;</w:t>
      </w:r>
    </w:p>
    <w:p w14:paraId="2D9088BE" w14:textId="77777777" w:rsidR="00F03BC4" w:rsidRPr="009B634C" w:rsidRDefault="00F03BC4" w:rsidP="00F03BC4">
      <w:pPr>
        <w:shd w:val="clear" w:color="auto" w:fill="FFFFFF"/>
        <w:spacing w:after="0" w:line="240" w:lineRule="auto"/>
        <w:ind w:left="426" w:hanging="425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1CDAAEA7" w14:textId="77777777" w:rsidR="00F03BC4" w:rsidRPr="009B634C" w:rsidRDefault="00F03BC4" w:rsidP="00F03BC4">
      <w:pPr>
        <w:numPr>
          <w:ilvl w:val="0"/>
          <w:numId w:val="4"/>
        </w:numPr>
        <w:shd w:val="clear" w:color="auto" w:fill="FFFFFF"/>
        <w:spacing w:after="0" w:line="240" w:lineRule="auto"/>
        <w:ind w:left="786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DO CANCELAMENTO DO AIT: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cancelamento e arquivamento da presente penalidade, conforme determina o parágrafo único do art. 281 do CTB, como medida de Justiça!</w:t>
      </w:r>
    </w:p>
    <w:p w14:paraId="0C6AF70A" w14:textId="77777777" w:rsidR="00F03BC4" w:rsidRDefault="00F03BC4" w:rsidP="00F03BC4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2830AFF2" w14:textId="77777777" w:rsidR="002C48A3" w:rsidRPr="009B634C" w:rsidRDefault="002C48A3" w:rsidP="00F03BC4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7E940136" w14:textId="77777777" w:rsidR="00F03BC4" w:rsidRPr="009B634C" w:rsidRDefault="00F03BC4" w:rsidP="00F03BC4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Junta documentos probatórios e os demais exigidos,</w:t>
      </w:r>
    </w:p>
    <w:p w14:paraId="0EFF78DE" w14:textId="77777777" w:rsidR="00F03BC4" w:rsidRPr="009B634C" w:rsidRDefault="00F03BC4" w:rsidP="00F03BC4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P. deferimento.</w:t>
      </w:r>
    </w:p>
    <w:p w14:paraId="79CCA70D" w14:textId="77777777" w:rsidR="00F03BC4" w:rsidRPr="009B634C" w:rsidRDefault="00F03BC4" w:rsidP="00F03BC4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</w:p>
    <w:p w14:paraId="3B3185B9" w14:textId="77777777" w:rsidR="00F03BC4" w:rsidRPr="009B634C" w:rsidRDefault="00F03BC4" w:rsidP="00F03BC4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Local, data.</w:t>
      </w:r>
    </w:p>
    <w:p w14:paraId="75E3E88A" w14:textId="77777777" w:rsidR="00F03BC4" w:rsidRPr="009B634C" w:rsidRDefault="00F03BC4" w:rsidP="00F03BC4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noProof/>
          <w:sz w:val="20"/>
          <w:szCs w:val="20"/>
        </w:rPr>
      </w:pPr>
    </w:p>
    <w:p w14:paraId="435CEA46" w14:textId="77777777" w:rsidR="00F03BC4" w:rsidRPr="009B634C" w:rsidRDefault="00F03BC4" w:rsidP="00F03BC4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</w:p>
    <w:p w14:paraId="5E9447E2" w14:textId="21ABA79E" w:rsidR="00F03BC4" w:rsidRPr="009B634C" w:rsidRDefault="009B634C" w:rsidP="00F03BC4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THIAGO</w:t>
      </w:r>
      <w:r w:rsidR="00F03BC4"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 (nome completo)</w:t>
      </w:r>
    </w:p>
    <w:p w14:paraId="79969BBD" w14:textId="77777777" w:rsidR="00F03BC4" w:rsidRDefault="00F03BC4" w:rsidP="00F03BC4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p.p Erica Avallone</w:t>
      </w:r>
    </w:p>
    <w:p w14:paraId="54320B03" w14:textId="10E35DD9" w:rsidR="002C48A3" w:rsidRPr="009B634C" w:rsidRDefault="002C48A3" w:rsidP="00F03BC4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Documento do procurador</w:t>
      </w:r>
    </w:p>
    <w:p w14:paraId="21123368" w14:textId="341F08D1" w:rsidR="008462CA" w:rsidRPr="009B634C" w:rsidRDefault="008462CA" w:rsidP="00F03BC4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sectPr w:rsidR="008462CA" w:rsidRPr="009B634C" w:rsidSect="00047846">
      <w:pgSz w:w="11907" w:h="16839"/>
      <w:pgMar w:top="851" w:right="1134" w:bottom="426" w:left="1701" w:header="426" w:footer="2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86699" w14:textId="77777777" w:rsidR="006350DF" w:rsidRDefault="006350DF" w:rsidP="00660208">
      <w:pPr>
        <w:spacing w:after="0" w:line="240" w:lineRule="auto"/>
      </w:pPr>
      <w:r>
        <w:separator/>
      </w:r>
    </w:p>
  </w:endnote>
  <w:endnote w:type="continuationSeparator" w:id="0">
    <w:p w14:paraId="3DAFD428" w14:textId="77777777" w:rsidR="006350DF" w:rsidRDefault="006350DF" w:rsidP="00660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F16F8" w14:textId="77777777" w:rsidR="006350DF" w:rsidRDefault="006350DF" w:rsidP="00660208">
      <w:pPr>
        <w:spacing w:after="0" w:line="240" w:lineRule="auto"/>
      </w:pPr>
      <w:r>
        <w:separator/>
      </w:r>
    </w:p>
  </w:footnote>
  <w:footnote w:type="continuationSeparator" w:id="0">
    <w:p w14:paraId="0038398D" w14:textId="77777777" w:rsidR="006350DF" w:rsidRDefault="006350DF" w:rsidP="00660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266B"/>
    <w:multiLevelType w:val="multilevel"/>
    <w:tmpl w:val="079EB37E"/>
    <w:lvl w:ilvl="0">
      <w:start w:val="1"/>
      <w:numFmt w:val="upperRoman"/>
      <w:lvlText w:val="%1."/>
      <w:lvlJc w:val="left"/>
      <w:pPr>
        <w:ind w:left="153" w:hanging="720"/>
      </w:p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0B573EC6"/>
    <w:multiLevelType w:val="hybridMultilevel"/>
    <w:tmpl w:val="5800604E"/>
    <w:lvl w:ilvl="0" w:tplc="D26E4198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E4A2B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8F1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08F3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306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A00D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86A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B85D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24B6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44F2C"/>
    <w:multiLevelType w:val="hybridMultilevel"/>
    <w:tmpl w:val="40901DC4"/>
    <w:lvl w:ilvl="0" w:tplc="439C4C6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37EC4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9841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A621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46D8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B406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22D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D6A8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3C35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30BDD"/>
    <w:multiLevelType w:val="hybridMultilevel"/>
    <w:tmpl w:val="D096B45E"/>
    <w:lvl w:ilvl="0" w:tplc="15106922">
      <w:start w:val="1"/>
      <w:numFmt w:val="upperRoman"/>
      <w:lvlText w:val="%1."/>
      <w:lvlJc w:val="left"/>
      <w:pPr>
        <w:ind w:left="222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86" w:hanging="360"/>
      </w:pPr>
    </w:lvl>
    <w:lvl w:ilvl="2" w:tplc="0416001B" w:tentative="1">
      <w:start w:val="1"/>
      <w:numFmt w:val="lowerRoman"/>
      <w:lvlText w:val="%3."/>
      <w:lvlJc w:val="right"/>
      <w:pPr>
        <w:ind w:left="3306" w:hanging="180"/>
      </w:pPr>
    </w:lvl>
    <w:lvl w:ilvl="3" w:tplc="0416000F" w:tentative="1">
      <w:start w:val="1"/>
      <w:numFmt w:val="decimal"/>
      <w:lvlText w:val="%4."/>
      <w:lvlJc w:val="left"/>
      <w:pPr>
        <w:ind w:left="4026" w:hanging="360"/>
      </w:pPr>
    </w:lvl>
    <w:lvl w:ilvl="4" w:tplc="04160019" w:tentative="1">
      <w:start w:val="1"/>
      <w:numFmt w:val="lowerLetter"/>
      <w:lvlText w:val="%5."/>
      <w:lvlJc w:val="left"/>
      <w:pPr>
        <w:ind w:left="4746" w:hanging="360"/>
      </w:pPr>
    </w:lvl>
    <w:lvl w:ilvl="5" w:tplc="0416001B" w:tentative="1">
      <w:start w:val="1"/>
      <w:numFmt w:val="lowerRoman"/>
      <w:lvlText w:val="%6."/>
      <w:lvlJc w:val="right"/>
      <w:pPr>
        <w:ind w:left="5466" w:hanging="180"/>
      </w:pPr>
    </w:lvl>
    <w:lvl w:ilvl="6" w:tplc="0416000F" w:tentative="1">
      <w:start w:val="1"/>
      <w:numFmt w:val="decimal"/>
      <w:lvlText w:val="%7."/>
      <w:lvlJc w:val="left"/>
      <w:pPr>
        <w:ind w:left="6186" w:hanging="360"/>
      </w:pPr>
    </w:lvl>
    <w:lvl w:ilvl="7" w:tplc="04160019" w:tentative="1">
      <w:start w:val="1"/>
      <w:numFmt w:val="lowerLetter"/>
      <w:lvlText w:val="%8."/>
      <w:lvlJc w:val="left"/>
      <w:pPr>
        <w:ind w:left="6906" w:hanging="360"/>
      </w:pPr>
    </w:lvl>
    <w:lvl w:ilvl="8" w:tplc="0416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4" w15:restartNumberingAfterBreak="0">
    <w:nsid w:val="43583F48"/>
    <w:multiLevelType w:val="multilevel"/>
    <w:tmpl w:val="C1EE7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436757">
    <w:abstractNumId w:val="0"/>
  </w:num>
  <w:num w:numId="2" w16cid:durableId="1572614651">
    <w:abstractNumId w:val="4"/>
  </w:num>
  <w:num w:numId="3" w16cid:durableId="1066226742">
    <w:abstractNumId w:val="1"/>
  </w:num>
  <w:num w:numId="4" w16cid:durableId="1624968178">
    <w:abstractNumId w:val="2"/>
  </w:num>
  <w:num w:numId="5" w16cid:durableId="2067990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5B7"/>
    <w:rsid w:val="00047846"/>
    <w:rsid w:val="00257F01"/>
    <w:rsid w:val="002C48A3"/>
    <w:rsid w:val="002E484D"/>
    <w:rsid w:val="00485E93"/>
    <w:rsid w:val="00620391"/>
    <w:rsid w:val="006350DF"/>
    <w:rsid w:val="00660208"/>
    <w:rsid w:val="007E6236"/>
    <w:rsid w:val="007E72B9"/>
    <w:rsid w:val="008462CA"/>
    <w:rsid w:val="0087089C"/>
    <w:rsid w:val="008B391E"/>
    <w:rsid w:val="009254E9"/>
    <w:rsid w:val="009B634C"/>
    <w:rsid w:val="009C3FA7"/>
    <w:rsid w:val="009D29C8"/>
    <w:rsid w:val="00A05552"/>
    <w:rsid w:val="00A170EA"/>
    <w:rsid w:val="00E4632D"/>
    <w:rsid w:val="00E558E8"/>
    <w:rsid w:val="00F03BC4"/>
    <w:rsid w:val="00F6404B"/>
    <w:rsid w:val="00FB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1D360"/>
  <w15:docId w15:val="{9E615BD6-819C-43C4-A867-E20E5AE8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5"/>
  </w:style>
  <w:style w:type="paragraph" w:styleId="Ttulo1">
    <w:name w:val="heading 1"/>
    <w:basedOn w:val="Normal"/>
    <w:next w:val="Normal"/>
    <w:link w:val="Ttulo1Char"/>
    <w:uiPriority w:val="9"/>
    <w:qFormat/>
    <w:rsid w:val="001F6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Forte">
    <w:name w:val="Strong"/>
    <w:qFormat/>
    <w:rsid w:val="00BB14DE"/>
    <w:rPr>
      <w:b/>
      <w:bCs/>
    </w:rPr>
  </w:style>
  <w:style w:type="character" w:customStyle="1" w:styleId="apple-converted-space">
    <w:name w:val="apple-converted-space"/>
    <w:rsid w:val="00BB14DE"/>
  </w:style>
  <w:style w:type="paragraph" w:styleId="Cabealho">
    <w:name w:val="header"/>
    <w:basedOn w:val="Normal"/>
    <w:link w:val="Cabealho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751"/>
  </w:style>
  <w:style w:type="paragraph" w:styleId="Rodap">
    <w:name w:val="footer"/>
    <w:basedOn w:val="Normal"/>
    <w:link w:val="Rodap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751"/>
  </w:style>
  <w:style w:type="paragraph" w:styleId="Textodebalo">
    <w:name w:val="Balloon Text"/>
    <w:basedOn w:val="Normal"/>
    <w:link w:val="TextodebaloChar"/>
    <w:uiPriority w:val="99"/>
    <w:semiHidden/>
    <w:unhideWhenUsed/>
    <w:rsid w:val="00534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48C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3E2A"/>
    <w:pPr>
      <w:ind w:left="720"/>
    </w:pPr>
  </w:style>
  <w:style w:type="character" w:customStyle="1" w:styleId="Ttulo3Char">
    <w:name w:val="Título 3 Char"/>
    <w:link w:val="Ttulo3"/>
    <w:uiPriority w:val="9"/>
    <w:rsid w:val="0034724A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4Char">
    <w:name w:val="Título 4 Char"/>
    <w:link w:val="Ttulo4"/>
    <w:uiPriority w:val="9"/>
    <w:rsid w:val="0034724A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exto2">
    <w:name w:val="texto2"/>
    <w:basedOn w:val="Fontepargpadro"/>
    <w:rsid w:val="0034724A"/>
  </w:style>
  <w:style w:type="paragraph" w:customStyle="1" w:styleId="textovale">
    <w:name w:val="textovale"/>
    <w:basedOn w:val="Normal"/>
    <w:rsid w:val="003472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D1BDE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</w:rPr>
  </w:style>
  <w:style w:type="character" w:customStyle="1" w:styleId="Corpodetexto2Char">
    <w:name w:val="Corpo de texto 2 Char"/>
    <w:link w:val="Corpodetexto2"/>
    <w:rsid w:val="00BD1BDE"/>
    <w:rPr>
      <w:rFonts w:ascii="Tahoma" w:eastAsia="Times New Roman" w:hAnsi="Tahoma" w:cs="Tahoma"/>
      <w:sz w:val="24"/>
      <w:szCs w:val="24"/>
      <w:lang w:val="pt-BR" w:eastAsia="pt-BR"/>
    </w:rPr>
  </w:style>
  <w:style w:type="character" w:customStyle="1" w:styleId="hl">
    <w:name w:val="hl"/>
    <w:basedOn w:val="Fontepargpadro"/>
    <w:rsid w:val="00440071"/>
  </w:style>
  <w:style w:type="paragraph" w:styleId="NormalWeb">
    <w:name w:val="Normal (Web)"/>
    <w:basedOn w:val="Normal"/>
    <w:uiPriority w:val="99"/>
    <w:unhideWhenUsed/>
    <w:rsid w:val="00EE47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2582A"/>
    <w:rPr>
      <w:color w:val="0000FF"/>
      <w:u w:val="single"/>
    </w:rPr>
  </w:style>
  <w:style w:type="character" w:customStyle="1" w:styleId="titulotexto">
    <w:name w:val="titulo_texto"/>
    <w:basedOn w:val="Fontepargpadro"/>
    <w:rsid w:val="00017E1D"/>
  </w:style>
  <w:style w:type="character" w:customStyle="1" w:styleId="Ttulo1Char">
    <w:name w:val="Título 1 Char"/>
    <w:basedOn w:val="Fontepargpadro"/>
    <w:link w:val="Ttulo1"/>
    <w:uiPriority w:val="9"/>
    <w:rsid w:val="001F68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ecxmsonormal">
    <w:name w:val="ecxmsonormal"/>
    <w:basedOn w:val="Normal"/>
    <w:rsid w:val="00560D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16C3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C53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04B5B"/>
    <w:pPr>
      <w:spacing w:after="0" w:line="240" w:lineRule="auto"/>
      <w:jc w:val="both"/>
    </w:pPr>
    <w:rPr>
      <w:rFonts w:ascii="Book Antiqua" w:eastAsiaTheme="minorHAnsi" w:hAnsi="Book Antiqua" w:cstheme="minorBid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704B5B"/>
    <w:rPr>
      <w:rFonts w:ascii="Book Antiqua" w:eastAsiaTheme="minorHAnsi" w:hAnsi="Book Antiqua" w:cstheme="minorBidi"/>
      <w:lang w:val="pt-BR"/>
    </w:rPr>
  </w:style>
  <w:style w:type="character" w:styleId="Refdenotaderodap">
    <w:name w:val="footnote reference"/>
    <w:basedOn w:val="Fontepargpadro"/>
    <w:uiPriority w:val="99"/>
    <w:unhideWhenUsed/>
    <w:rsid w:val="00704B5B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04B5B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04B5B"/>
    <w:rPr>
      <w:sz w:val="22"/>
      <w:szCs w:val="22"/>
      <w:lang w:val="pt-BR"/>
    </w:rPr>
  </w:style>
  <w:style w:type="character" w:customStyle="1" w:styleId="style39">
    <w:name w:val="style39"/>
    <w:basedOn w:val="Fontepargpadro"/>
    <w:rsid w:val="00704B5B"/>
  </w:style>
  <w:style w:type="table" w:styleId="Tabelacomgrade">
    <w:name w:val="Table Grid"/>
    <w:basedOn w:val="Tabelanormal"/>
    <w:uiPriority w:val="39"/>
    <w:rsid w:val="00B165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1">
    <w:name w:val="texto1"/>
    <w:basedOn w:val="Fontepargpadro"/>
    <w:rsid w:val="007B5AD6"/>
    <w:rPr>
      <w:rFonts w:ascii="Verdana" w:hAnsi="Verdana" w:hint="default"/>
      <w:strike w:val="0"/>
      <w:dstrike w:val="0"/>
      <w:color w:val="666666"/>
      <w:sz w:val="18"/>
      <w:szCs w:val="18"/>
      <w:u w:val="none"/>
      <w:effect w:val="none"/>
    </w:rPr>
  </w:style>
  <w:style w:type="character" w:styleId="nfase">
    <w:name w:val="Emphasis"/>
    <w:basedOn w:val="Fontepargpadro"/>
    <w:uiPriority w:val="20"/>
    <w:qFormat/>
    <w:rsid w:val="007B5AD6"/>
    <w:rPr>
      <w:i/>
      <w:iCs/>
    </w:rPr>
  </w:style>
  <w:style w:type="paragraph" w:styleId="SemEspaamento">
    <w:name w:val="No Spacing"/>
    <w:link w:val="SemEspaamentoChar"/>
    <w:uiPriority w:val="1"/>
    <w:qFormat/>
    <w:rsid w:val="007B5AD6"/>
    <w:rPr>
      <w:rFonts w:ascii="Times New Roman" w:eastAsia="Times New Roman" w:hAnsi="Times New Roman"/>
      <w:sz w:val="24"/>
      <w:szCs w:val="24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7B5AD6"/>
    <w:rPr>
      <w:rFonts w:ascii="Times New Roman" w:eastAsia="Times New Roman" w:hAnsi="Times New Roman"/>
      <w:sz w:val="24"/>
      <w:szCs w:val="24"/>
      <w:lang w:val="pt-BR"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A05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3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33FI45xu++pY2sP+D88BCt3D6w==">AMUW2mUPg+j083GIM7rShFTnpeHpxUGHVT2WCaGfIan20dPMglgQls1J+TQtu7ez0AHRO5ZgwueIaHrsdOldBVEgMBZVUigyx81uam/zUbb7E8LXIMxg6dcRm+ITxyPqkZvW4Bfnq28a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2775</Words>
  <Characters>14987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Avallone</dc:creator>
  <cp:lastModifiedBy>Erica Avallone</cp:lastModifiedBy>
  <cp:revision>4</cp:revision>
  <cp:lastPrinted>2021-04-07T12:52:00Z</cp:lastPrinted>
  <dcterms:created xsi:type="dcterms:W3CDTF">2023-04-17T13:55:00Z</dcterms:created>
  <dcterms:modified xsi:type="dcterms:W3CDTF">2023-04-17T14:48:00Z</dcterms:modified>
</cp:coreProperties>
</file>