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B637B" w:rsidRPr="00A67AA6" w:rsidRDefault="00000000">
      <w:pPr>
        <w:shd w:val="clear" w:color="auto" w:fill="FFFFFF"/>
        <w:spacing w:line="240" w:lineRule="auto"/>
        <w:ind w:left="-567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 xml:space="preserve">ILUSTRÍSSIMO SR.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DIRETOR DO DETRAN/SP</w:t>
      </w:r>
    </w:p>
    <w:p w14:paraId="00000002" w14:textId="77777777" w:rsidR="00CB637B" w:rsidRPr="00A67AA6" w:rsidRDefault="00CB637B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3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Recurso à Jari </w:t>
      </w:r>
    </w:p>
    <w:p w14:paraId="00000004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Processo Administrativo n. 1/2023</w:t>
      </w:r>
    </w:p>
    <w:p w14:paraId="00000005" w14:textId="77777777" w:rsidR="00CB637B" w:rsidRPr="00A67AA6" w:rsidRDefault="00CB637B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6" w14:textId="1BF51C25" w:rsidR="00CB637B" w:rsidRPr="00A67AA6" w:rsidRDefault="00471A7E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NOME COMPLETO</w:t>
      </w:r>
      <w:r w:rsidR="00000000"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XXXXXXXX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nacionalidade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estado civil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profissão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inscrita no CPF n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XXX.XXX.XXX-XX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>, portador da cédula de identidade</w:t>
      </w:r>
      <w:r w:rsidR="00A67AA6">
        <w:rPr>
          <w:rFonts w:asciiTheme="majorHAnsi" w:eastAsia="Times New Roman" w:hAnsiTheme="majorHAnsi" w:cstheme="majorHAnsi"/>
          <w:sz w:val="24"/>
          <w:szCs w:val="24"/>
        </w:rPr>
        <w:t xml:space="preserve"> RG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 n</w:t>
      </w:r>
      <w:r w:rsidR="00A67AA6">
        <w:rPr>
          <w:rFonts w:asciiTheme="majorHAnsi" w:eastAsia="Times New Roman" w:hAnsiTheme="majorHAnsi" w:cstheme="majorHAnsi"/>
          <w:sz w:val="24"/>
          <w:szCs w:val="24"/>
        </w:rPr>
        <w:t>º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XXXXXX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 SSP/SP, CNH n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XXXXXXXXXXX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Rua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XXXXXXX, nº 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, na cidade de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XXXXX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>/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UF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>, tendo sido autuad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a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 por infração de trânsito supramencionada, vem, através do presente Recurso, até Vossa Senhoria 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apresentar </w:t>
      </w:r>
      <w:r w:rsidR="00000000" w:rsidRPr="00A67AA6">
        <w:rPr>
          <w:rFonts w:asciiTheme="majorHAnsi" w:eastAsia="Times New Roman" w:hAnsiTheme="majorHAnsi" w:cstheme="majorHAnsi"/>
          <w:b/>
          <w:bCs/>
          <w:sz w:val="24"/>
          <w:szCs w:val="24"/>
          <w:highlight w:val="white"/>
        </w:rPr>
        <w:t>Recurso à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 </w:t>
      </w:r>
      <w:r w:rsidR="00000000" w:rsidRPr="00A67AA6">
        <w:rPr>
          <w:rFonts w:asciiTheme="majorHAnsi" w:eastAsia="Times New Roman" w:hAnsiTheme="majorHAnsi" w:cstheme="majorHAnsi"/>
          <w:b/>
          <w:sz w:val="24"/>
          <w:szCs w:val="24"/>
          <w:highlight w:val="white"/>
        </w:rPr>
        <w:t>JARI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  <w:highlight w:val="white"/>
        </w:rPr>
        <w:t xml:space="preserve">, </w:t>
      </w:r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 xml:space="preserve">nos termos dos </w:t>
      </w:r>
      <w:proofErr w:type="spellStart"/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>arts</w:t>
      </w:r>
      <w:proofErr w:type="spellEnd"/>
      <w:r w:rsidR="00000000" w:rsidRPr="00A67AA6">
        <w:rPr>
          <w:rFonts w:asciiTheme="majorHAnsi" w:eastAsia="Times New Roman" w:hAnsiTheme="majorHAnsi" w:cstheme="majorHAnsi"/>
          <w:sz w:val="24"/>
          <w:szCs w:val="24"/>
        </w:rPr>
        <w:t>. 280 e seguintes do Código de Trânsito Brasileiro e Resolução 723 do CONTRAN, alterada pela Resolução 844/2021, em desfavor do P.A supramencionado, nos termos a seguir expostos.</w:t>
      </w:r>
    </w:p>
    <w:p w14:paraId="00000007" w14:textId="77777777" w:rsidR="00CB637B" w:rsidRPr="00A67AA6" w:rsidRDefault="00CB637B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8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</w:rPr>
        <w:t xml:space="preserve"> I - DOS FATOS</w:t>
      </w:r>
    </w:p>
    <w:p w14:paraId="00000009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0000000A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Segundo a notificação em anexo, a Recorrente, supostamente, teria dirigido sob influência de álcool, sendo lavrado AIT contra ela, na forma do art. 165 do CTB.</w:t>
      </w:r>
    </w:p>
    <w:p w14:paraId="0000000B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0000000C" w14:textId="098CDA25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Assim sendo, contra ela foi instaurado o presente PA de suspensão, </w:t>
      </w:r>
      <w:r w:rsidR="00A67AA6">
        <w:rPr>
          <w:rFonts w:asciiTheme="majorHAnsi" w:eastAsia="Times New Roman" w:hAnsiTheme="majorHAnsi" w:cstheme="majorHAnsi"/>
          <w:sz w:val="24"/>
          <w:szCs w:val="24"/>
        </w:rPr>
        <w:t>na forma do art. 261 do CTB.</w:t>
      </w:r>
    </w:p>
    <w:p w14:paraId="0000000D" w14:textId="77777777" w:rsidR="00CB637B" w:rsidRPr="00A67AA6" w:rsidRDefault="00CB637B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0E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Importante frisar que também se aplica ao processo administrativo para imposição da penalidade de suspensão do direito de dirigir os artigos 280 e seguintes do CTB que trata do Processo Administrativo. </w:t>
      </w:r>
    </w:p>
    <w:p w14:paraId="0000000F" w14:textId="77777777" w:rsidR="00CB637B" w:rsidRPr="00A67AA6" w:rsidRDefault="00CB637B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10" w14:textId="66644C49" w:rsidR="00CB637B" w:rsidRPr="00A67AA6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II </w:t>
      </w:r>
      <w:r w:rsidR="00A67AA6">
        <w:rPr>
          <w:rFonts w:asciiTheme="majorHAnsi" w:eastAsia="Times New Roman" w:hAnsiTheme="majorHAnsi" w:cstheme="majorHAnsi"/>
          <w:b/>
          <w:sz w:val="24"/>
          <w:szCs w:val="24"/>
        </w:rPr>
        <w:t>–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PRELIMINAR: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DA ILEGITIMIDADE DO DETRAN: competência da PRF</w:t>
      </w:r>
    </w:p>
    <w:p w14:paraId="00000011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12" w14:textId="046E5499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hAnsiTheme="majorHAnsi" w:cstheme="majorHAnsi"/>
          <w:highlight w:val="white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Tendo em vista que o presente PA foi instaurado no ano de 2023, aplica-se ao presente caso a nova redação do inciso XII, do art. 20 do CTB, </w:t>
      </w:r>
      <w:r w:rsidR="00A67AA6">
        <w:rPr>
          <w:rFonts w:asciiTheme="majorHAnsi" w:eastAsia="Times New Roman" w:hAnsiTheme="majorHAnsi" w:cstheme="majorHAnsi"/>
          <w:sz w:val="24"/>
          <w:szCs w:val="24"/>
        </w:rPr>
        <w:t xml:space="preserve">alterado pela Lei 14.071/20,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a qual entrou em vigor em abril de 2021, isto é, 180 dias após sua publicação (outubro de 2020): </w:t>
      </w:r>
    </w:p>
    <w:p w14:paraId="00000013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hAnsiTheme="majorHAnsi" w:cstheme="majorHAnsi"/>
          <w:highlight w:val="white"/>
        </w:rPr>
      </w:pPr>
    </w:p>
    <w:p w14:paraId="00000014" w14:textId="77777777" w:rsidR="00CB637B" w:rsidRDefault="00000000">
      <w:pPr>
        <w:shd w:val="clear" w:color="auto" w:fill="FFFFFF"/>
        <w:spacing w:line="240" w:lineRule="auto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Art. 20. </w:t>
      </w: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  <w:t>Compete à Polícia Rodoviária Federal</w:t>
      </w: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, no âmbito das rodovias e estradas federais:   </w:t>
      </w:r>
    </w:p>
    <w:p w14:paraId="5B1A672A" w14:textId="7026B8BD" w:rsidR="00A67AA6" w:rsidRPr="00A67AA6" w:rsidRDefault="00A67AA6">
      <w:pPr>
        <w:shd w:val="clear" w:color="auto" w:fill="FFFFFF"/>
        <w:spacing w:line="240" w:lineRule="auto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>
        <w:rPr>
          <w:rFonts w:asciiTheme="majorHAnsi" w:eastAsia="Times New Roman" w:hAnsiTheme="majorHAnsi" w:cstheme="majorHAnsi"/>
          <w:i/>
          <w:sz w:val="24"/>
          <w:szCs w:val="24"/>
        </w:rPr>
        <w:t>[…]</w:t>
      </w:r>
    </w:p>
    <w:p w14:paraId="00000015" w14:textId="77777777" w:rsidR="00CB637B" w:rsidRPr="00A67AA6" w:rsidRDefault="00000000">
      <w:pPr>
        <w:shd w:val="clear" w:color="auto" w:fill="FFFFFF"/>
        <w:spacing w:line="240" w:lineRule="auto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XII - </w:t>
      </w: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  <w:t>aplicar a penalidade de suspensão do direito de dirigir, quando prevista de forma específica para a infração cometida</w:t>
      </w: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, e comunicar a aplicação da penalidade ao órgão máximo executivo de trânsito da União. </w:t>
      </w:r>
    </w:p>
    <w:p w14:paraId="00000016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17" w14:textId="77777777" w:rsidR="00CB637B" w:rsidRPr="00A67AA6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A infração imputada à Recorrente (art. 165, CTB) tem como penalidade multa, no valor de R$ 2.934,70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 xml:space="preserve"> e (+) suspensão do direito de dirigir por 12 meses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, tratando-se, pois, de infração </w:t>
      </w:r>
      <w:proofErr w:type="spellStart"/>
      <w:r w:rsidRPr="00A67AA6">
        <w:rPr>
          <w:rFonts w:asciiTheme="majorHAnsi" w:eastAsia="Times New Roman" w:hAnsiTheme="majorHAnsi" w:cstheme="majorHAnsi"/>
          <w:sz w:val="24"/>
          <w:szCs w:val="24"/>
        </w:rPr>
        <w:t>autossuspensiva</w:t>
      </w:r>
      <w:proofErr w:type="spellEnd"/>
      <w:r w:rsidRPr="00A67AA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18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19" w14:textId="77777777" w:rsidR="00CB637B" w:rsidRPr="00A67AA6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Portanto, se trata de uma infração cuja penalidade de suspensão é prevista de forma ESPECÍFICA, conforme dispõe o inciso XII, do art. 20, do CTB.</w:t>
      </w:r>
    </w:p>
    <w:p w14:paraId="0000001A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1B" w14:textId="77777777" w:rsidR="00CB637B" w:rsidRPr="00A67AA6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lastRenderedPageBreak/>
        <w:t xml:space="preserve">Assim sendo, com fulcro no inciso XII, do art. 20, CTB,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a competência/legitimidade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para instaurar o presente PA de suspensão do direito de dirigir é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da PRF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, órgão que lavrou o AIT que deu origem a este PA e </w:t>
      </w:r>
      <w:r w:rsidRPr="00A67AA6">
        <w:rPr>
          <w:rFonts w:asciiTheme="majorHAnsi" w:eastAsia="Times New Roman" w:hAnsiTheme="majorHAnsi" w:cstheme="majorHAnsi"/>
          <w:b/>
          <w:bCs/>
          <w:sz w:val="24"/>
          <w:szCs w:val="24"/>
        </w:rPr>
        <w:t>não do DETRAN.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000001C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  <w:u w:val="single"/>
        </w:rPr>
      </w:pPr>
    </w:p>
    <w:p w14:paraId="0000001D" w14:textId="77777777" w:rsidR="00CB637B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  <w:u w:val="single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Nesse diapasão, deve o presente PA ser imediatamente ARQUIVADO ante o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highlight w:val="white"/>
          <w:u w:val="single"/>
        </w:rPr>
        <w:t xml:space="preserve">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highlight w:val="yellow"/>
          <w:u w:val="single"/>
        </w:rPr>
        <w:t>vício de LEGITIMIDADE/COMPETÊNCIA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 xml:space="preserve"> que o acomete, eis que se trata de uma nulidade absoluta! </w:t>
      </w:r>
    </w:p>
    <w:p w14:paraId="08252BD4" w14:textId="77777777" w:rsidR="00A67AA6" w:rsidRPr="00A67AA6" w:rsidRDefault="00A67AA6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  <w:u w:val="single"/>
        </w:rPr>
      </w:pPr>
    </w:p>
    <w:p w14:paraId="0000001E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  <w:u w:val="single"/>
        </w:rPr>
      </w:pPr>
    </w:p>
    <w:p w14:paraId="0000001F" w14:textId="77777777" w:rsidR="00CB637B" w:rsidRPr="00A67AA6" w:rsidRDefault="00000000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III - DA PRECLUSÃO: notificação expedida fora do prazo legal</w:t>
      </w:r>
    </w:p>
    <w:p w14:paraId="00000020" w14:textId="77777777" w:rsidR="00CB637B" w:rsidRPr="00A67AA6" w:rsidRDefault="00CB637B">
      <w:pPr>
        <w:shd w:val="clear" w:color="auto" w:fill="FFFFFF"/>
        <w:ind w:left="-566" w:right="60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21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Como se não bastasse, em que pese ter sido este PA instaurado em 2023, é certo que há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PRECLUSÃO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do direito de punir do DETRAN/SP, ante o decurso do prazo para expedir a notificação prevista no art. 282 do CTB. ﻿</w:t>
      </w:r>
    </w:p>
    <w:p w14:paraId="00000022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3" w14:textId="36DAB734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Isso porque, a infração que acarretou </w:t>
      </w:r>
      <w:r w:rsidR="003F6204" w:rsidRPr="00A67AA6">
        <w:rPr>
          <w:rFonts w:asciiTheme="majorHAnsi" w:eastAsia="Times New Roman" w:hAnsiTheme="majorHAnsi" w:cstheme="majorHAnsi"/>
          <w:sz w:val="24"/>
          <w:szCs w:val="24"/>
        </w:rPr>
        <w:t>a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instauração deste PA, segundo previsão do art. 261, II do CTB, ocorreu em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28/10/2018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24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5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É certo que a Lei em vigor tem vigência IMEDIATA, ou seja, a nova redação do art. 282 do CTB deve ser aplicada imediatamente, adequando-se, então, os fatos jurídicos que ainda estão ocorrendo à nova previsão legal.</w:t>
      </w:r>
    </w:p>
    <w:p w14:paraId="00000026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7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Essa situação está prevista na Lei de Introdução às Normas do Direito </w:t>
      </w:r>
      <w:proofErr w:type="gramStart"/>
      <w:r w:rsidRPr="00A67AA6">
        <w:rPr>
          <w:rFonts w:asciiTheme="majorHAnsi" w:eastAsia="Times New Roman" w:hAnsiTheme="majorHAnsi" w:cstheme="majorHAnsi"/>
          <w:sz w:val="24"/>
          <w:szCs w:val="24"/>
        </w:rPr>
        <w:t>Brasileiro</w:t>
      </w:r>
      <w:proofErr w:type="gramEnd"/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(LINDB), que diz em seu artigo 6º que </w:t>
      </w: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“a Lei em vigor terá </w:t>
      </w:r>
      <w:r w:rsidRPr="003F6204">
        <w:rPr>
          <w:rFonts w:asciiTheme="majorHAnsi" w:eastAsia="Times New Roman" w:hAnsiTheme="majorHAnsi" w:cstheme="majorHAnsi"/>
          <w:b/>
          <w:bCs/>
          <w:i/>
          <w:sz w:val="24"/>
          <w:szCs w:val="24"/>
          <w:u w:val="single"/>
        </w:rPr>
        <w:t>efeito imediato e geral</w:t>
      </w: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>, respeitados o ato jurídico perfeito, o direito adquirido e a coisa julgada.”</w:t>
      </w:r>
    </w:p>
    <w:p w14:paraId="00000028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9" w14:textId="77777777" w:rsidR="00CB637B" w:rsidRPr="003F6204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b/>
          <w:bCs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No caso, não há ato jurídico perfeito, nem direito adquirido e nem coisa julgada, uma vez que </w:t>
      </w:r>
      <w:r w:rsidRPr="003F6204">
        <w:rPr>
          <w:rFonts w:asciiTheme="majorHAnsi" w:eastAsia="Times New Roman" w:hAnsiTheme="majorHAnsi" w:cstheme="majorHAnsi"/>
          <w:b/>
          <w:bCs/>
          <w:sz w:val="24"/>
          <w:szCs w:val="24"/>
        </w:rPr>
        <w:t>não houve aplicação da penalidade.</w:t>
      </w:r>
    </w:p>
    <w:p w14:paraId="0000002A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B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Assim, a data da notificação de instauração deste PA deve seguir a regra prevista no art. 282, §6º, já que o texto legal abaixo transcrito fala do prazo das notificações das penalidades previstas no art. 256 do CTB, vejamos:</w:t>
      </w:r>
    </w:p>
    <w:p w14:paraId="0000002C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D" w14:textId="77777777" w:rsidR="00CB637B" w:rsidRPr="00A67AA6" w:rsidRDefault="00000000">
      <w:pPr>
        <w:shd w:val="clear" w:color="auto" w:fill="FFFFFF"/>
        <w:spacing w:line="240" w:lineRule="auto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>§ 6º O prazo para expedição das notificações das penalidades previstas no art. 256 deste Código é de 180 (cento e oitenta) dias ou, se houver interposição de defesa prévia, de 360 (trezentos e sessenta) dias</w:t>
      </w:r>
    </w:p>
    <w:p w14:paraId="0000002E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2F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  <w:u w:val="single"/>
        </w:rPr>
      </w:pPr>
      <w:r w:rsidRPr="00A67AA6">
        <w:rPr>
          <w:rFonts w:asciiTheme="majorHAnsi" w:eastAsia="Times New Roman" w:hAnsiTheme="majorHAnsi" w:cstheme="majorHAnsi"/>
          <w:sz w:val="24"/>
          <w:szCs w:val="24"/>
          <w:u w:val="single"/>
        </w:rPr>
        <w:t>Como a suspensão do direito de dirigir é uma das penalidades ali previstas, deve o texto legal valer para ela também.</w:t>
      </w:r>
    </w:p>
    <w:p w14:paraId="00000030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31" w14:textId="77777777" w:rsidR="00CB637B" w:rsidRPr="00A67AA6" w:rsidRDefault="00000000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Ora, aqui é usar por analogia a previsão do art. 281, §1º, II do CTB, que trata da notificação da autuação que deve ser expedida no prazo de 30 dias - prazo decadencial que gera a preclusão do direito de punir, vejamos:</w:t>
      </w:r>
    </w:p>
    <w:p w14:paraId="00000032" w14:textId="77777777" w:rsidR="00CB637B" w:rsidRPr="00A67AA6" w:rsidRDefault="00CB637B">
      <w:pPr>
        <w:shd w:val="clear" w:color="auto" w:fill="FFFFFF"/>
        <w:spacing w:line="240" w:lineRule="auto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33" w14:textId="77777777" w:rsidR="00CB637B" w:rsidRPr="00A67AA6" w:rsidRDefault="00000000">
      <w:pPr>
        <w:shd w:val="clear" w:color="auto" w:fill="FFFFFF"/>
        <w:spacing w:line="240" w:lineRule="auto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00000034" w14:textId="77777777" w:rsidR="00CB637B" w:rsidRPr="00A67AA6" w:rsidRDefault="00000000">
      <w:pPr>
        <w:shd w:val="clear" w:color="auto" w:fill="FFFFFF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lastRenderedPageBreak/>
        <w:t>§ 1º O auto de infração será arquivado e seu registro julgado insubsistente:</w:t>
      </w:r>
    </w:p>
    <w:p w14:paraId="00000035" w14:textId="77777777" w:rsidR="00CB637B" w:rsidRPr="00A67AA6" w:rsidRDefault="00000000">
      <w:pPr>
        <w:shd w:val="clear" w:color="auto" w:fill="FFFFFF"/>
        <w:ind w:left="1133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>[...]</w:t>
      </w:r>
    </w:p>
    <w:p w14:paraId="00000036" w14:textId="77777777" w:rsidR="00CB637B" w:rsidRPr="00A67AA6" w:rsidRDefault="00000000">
      <w:pPr>
        <w:shd w:val="clear" w:color="auto" w:fill="FFFFFF"/>
        <w:ind w:left="113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</w:rPr>
        <w:t xml:space="preserve">II - </w:t>
      </w:r>
      <w:proofErr w:type="gramStart"/>
      <w:r w:rsidRPr="00A67AA6">
        <w:rPr>
          <w:rFonts w:asciiTheme="majorHAnsi" w:eastAsia="Times New Roman" w:hAnsiTheme="majorHAnsi" w:cstheme="majorHAnsi"/>
          <w:b/>
          <w:i/>
          <w:sz w:val="24"/>
          <w:szCs w:val="24"/>
        </w:rPr>
        <w:t>se</w:t>
      </w:r>
      <w:proofErr w:type="gramEnd"/>
      <w:r w:rsidRPr="00A67AA6">
        <w:rPr>
          <w:rFonts w:asciiTheme="majorHAnsi" w:eastAsia="Times New Roman" w:hAnsiTheme="majorHAnsi" w:cstheme="majorHAnsi"/>
          <w:b/>
          <w:i/>
          <w:sz w:val="24"/>
          <w:szCs w:val="24"/>
        </w:rPr>
        <w:t>, no prazo máximo de trinta dias, não for expedida a notificação da autuação;</w:t>
      </w:r>
    </w:p>
    <w:p w14:paraId="00000037" w14:textId="77777777" w:rsidR="00CB637B" w:rsidRPr="00A67AA6" w:rsidRDefault="00CB637B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38" w14:textId="510672A2" w:rsidR="00CB637B" w:rsidRPr="00A67AA6" w:rsidRDefault="00000000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No caso aqui em discussão, este PA está precluso</w:t>
      </w:r>
      <w:r w:rsidR="003F6204">
        <w:rPr>
          <w:rFonts w:asciiTheme="majorHAnsi" w:eastAsia="Times New Roman" w:hAnsiTheme="majorHAnsi" w:cstheme="majorHAnsi"/>
          <w:sz w:val="24"/>
          <w:szCs w:val="24"/>
        </w:rPr>
        <w:t xml:space="preserve"> (</w:t>
      </w:r>
      <w:r w:rsidR="003F6204" w:rsidRPr="003F6204">
        <w:rPr>
          <w:rFonts w:asciiTheme="majorHAnsi" w:eastAsia="Times New Roman" w:hAnsiTheme="majorHAnsi" w:cstheme="majorHAnsi"/>
          <w:i/>
          <w:iCs/>
          <w:sz w:val="24"/>
          <w:szCs w:val="24"/>
        </w:rPr>
        <w:t>natimorto</w:t>
      </w:r>
      <w:r w:rsidR="003F6204">
        <w:rPr>
          <w:rFonts w:asciiTheme="majorHAnsi" w:eastAsia="Times New Roman" w:hAnsiTheme="majorHAnsi" w:cstheme="majorHAnsi"/>
          <w:sz w:val="24"/>
          <w:szCs w:val="24"/>
        </w:rPr>
        <w:t>)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, uma vez que os prazos previstos no art. 282, §6º do CTB, de qualquer ângulo que se olhe, já foram extrapolados.</w:t>
      </w:r>
    </w:p>
    <w:p w14:paraId="00000039" w14:textId="77777777" w:rsidR="00CB637B" w:rsidRPr="00A67AA6" w:rsidRDefault="00CB637B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3A" w14:textId="41903842" w:rsidR="00CB637B" w:rsidRPr="00A67AA6" w:rsidRDefault="00000000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Isso porque, entre a data da infração, que foi em </w:t>
      </w:r>
      <w:r w:rsidRPr="003F6204">
        <w:rPr>
          <w:rFonts w:asciiTheme="majorHAnsi" w:eastAsia="Times New Roman" w:hAnsiTheme="majorHAnsi" w:cstheme="majorHAnsi"/>
          <w:b/>
          <w:color w:val="FF0000"/>
          <w:sz w:val="24"/>
          <w:szCs w:val="24"/>
          <w:u w:val="single"/>
        </w:rPr>
        <w:t>28/10/2018</w:t>
      </w:r>
      <w:r w:rsidR="003F6204" w:rsidRPr="003F6204">
        <w:rPr>
          <w:rFonts w:asciiTheme="majorHAnsi" w:eastAsia="Times New Roman" w:hAnsiTheme="majorHAnsi" w:cstheme="majorHAnsi"/>
          <w:b/>
          <w:color w:val="FF0000"/>
          <w:sz w:val="24"/>
          <w:szCs w:val="24"/>
          <w:u w:val="single"/>
        </w:rPr>
        <w:t xml:space="preserve"> </w:t>
      </w:r>
      <w:r w:rsidR="003F6204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 xml:space="preserve">– </w:t>
      </w:r>
      <w:r w:rsidR="003F6204" w:rsidRPr="003F6204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>(data do encerramento da instância administrativa da penalidade de multa – art. 290 do CTB)</w:t>
      </w:r>
      <w:r w:rsidRPr="003F6204">
        <w:rPr>
          <w:rFonts w:asciiTheme="majorHAnsi" w:eastAsia="Times New Roman" w:hAnsiTheme="majorHAnsi" w:cstheme="majorHAnsi"/>
          <w:bCs/>
          <w:i/>
          <w:iCs/>
          <w:sz w:val="24"/>
          <w:szCs w:val="24"/>
        </w:rPr>
        <w:t xml:space="preserve">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e a data da instauração deste PA em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10/03/2023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, passaram-se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  <w:u w:val="single"/>
        </w:rPr>
        <w:t>1594 dias (04 anos, 04 meses e 10 dias)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, ou seja, prazo muito superior ao estabelecido no art. 282, §6º do CTB.</w:t>
      </w:r>
    </w:p>
    <w:p w14:paraId="0000003B" w14:textId="77777777" w:rsidR="00CB637B" w:rsidRPr="00A67AA6" w:rsidRDefault="00000000">
      <w:pP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Diante do exposto, deve ser aplicada a regra de preclusão ali estabelecida.</w:t>
      </w:r>
    </w:p>
    <w:p w14:paraId="0000003C" w14:textId="77777777" w:rsidR="00CB637B" w:rsidRPr="00A67AA6" w:rsidRDefault="00000000">
      <w:pP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Logo, o arquivamento deste processo administrativo, nos termos do § 1º, II, do art. 281 do CTB é a medida que se impõe, o que desde logo se requer.</w:t>
      </w:r>
    </w:p>
    <w:p w14:paraId="0000003D" w14:textId="77777777" w:rsidR="00CB637B" w:rsidRPr="00A67AA6" w:rsidRDefault="00CB637B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3E" w14:textId="77777777" w:rsidR="00CB637B" w:rsidRPr="00A67AA6" w:rsidRDefault="00000000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Ainda, necessário se faz mencionar os artigos 28 e 30 da Lei de Introdução às Normas do Direito </w:t>
      </w:r>
      <w:proofErr w:type="gramStart"/>
      <w:r w:rsidRPr="00A67AA6">
        <w:rPr>
          <w:rFonts w:asciiTheme="majorHAnsi" w:eastAsia="Times New Roman" w:hAnsiTheme="majorHAnsi" w:cstheme="majorHAnsi"/>
          <w:sz w:val="24"/>
          <w:szCs w:val="24"/>
        </w:rPr>
        <w:t>Brasileiro</w:t>
      </w:r>
      <w:proofErr w:type="gramEnd"/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(LINDB), vejamos:</w:t>
      </w:r>
    </w:p>
    <w:p w14:paraId="0000003F" w14:textId="77777777" w:rsidR="00CB637B" w:rsidRPr="00A67AA6" w:rsidRDefault="00CB637B">
      <w:pPr>
        <w:shd w:val="clear" w:color="auto" w:fill="FFFFFF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40" w14:textId="77777777" w:rsidR="00CB637B" w:rsidRPr="00A67AA6" w:rsidRDefault="00000000">
      <w:pPr>
        <w:shd w:val="clear" w:color="auto" w:fill="FFFFFF"/>
        <w:ind w:left="1133"/>
        <w:jc w:val="both"/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Art. 28.  O agente público responderá pessoalmente por suas decisões ou opiniões técnicas em caso de dolo ou </w:t>
      </w: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  <w:t>erro grosseiro.</w:t>
      </w:r>
    </w:p>
    <w:p w14:paraId="00000041" w14:textId="77777777" w:rsidR="00CB637B" w:rsidRPr="00A67AA6" w:rsidRDefault="00000000">
      <w:pPr>
        <w:shd w:val="clear" w:color="auto" w:fill="FFFFFF"/>
        <w:ind w:left="1140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>[…]</w:t>
      </w:r>
    </w:p>
    <w:p w14:paraId="00000042" w14:textId="77777777" w:rsidR="00CB637B" w:rsidRPr="00A67AA6" w:rsidRDefault="00000000">
      <w:pPr>
        <w:shd w:val="clear" w:color="auto" w:fill="FFFFFF"/>
        <w:ind w:left="1140"/>
        <w:jc w:val="both"/>
        <w:rPr>
          <w:rFonts w:asciiTheme="majorHAnsi" w:eastAsia="Times New Roman" w:hAnsiTheme="majorHAnsi" w:cstheme="majorHAnsi"/>
          <w:i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Art. 30.  As autoridades públicas </w:t>
      </w:r>
      <w:r w:rsidRPr="00A67AA6"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  <w:t>devem atuar para aumentar a segurança jurídica na aplicação das normas</w:t>
      </w:r>
      <w:r w:rsidRPr="00A67AA6">
        <w:rPr>
          <w:rFonts w:asciiTheme="majorHAnsi" w:eastAsia="Times New Roman" w:hAnsiTheme="majorHAnsi" w:cstheme="majorHAnsi"/>
          <w:i/>
          <w:sz w:val="24"/>
          <w:szCs w:val="24"/>
        </w:rPr>
        <w:t xml:space="preserve">, inclusive por meio de regulamentos, súmulas administrativas e respostas a consultas.    </w:t>
      </w:r>
    </w:p>
    <w:p w14:paraId="00000043" w14:textId="77777777" w:rsidR="00CB637B" w:rsidRPr="00A67AA6" w:rsidRDefault="00000000">
      <w:pP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Como narrado, o AIT aqui em discussão ofende à segurança jurídica, conforme demonstrado, pelo que se requer, sob pena de responsabilidade, a nulidade do PA aqui em discussão.</w:t>
      </w:r>
    </w:p>
    <w:p w14:paraId="00000044" w14:textId="77777777" w:rsidR="00CB637B" w:rsidRPr="00A67AA6" w:rsidRDefault="00000000">
      <w:pP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IV - DO EFEITO SUSPENSIVO: </w:t>
      </w:r>
    </w:p>
    <w:p w14:paraId="00000045" w14:textId="77777777" w:rsidR="00CB637B" w:rsidRPr="00A67AA6" w:rsidRDefault="00CB637B">
      <w:pPr>
        <w:ind w:firstLine="566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47" w14:textId="4AEE9610" w:rsidR="00CB637B" w:rsidRPr="00A67AA6" w:rsidRDefault="00000000" w:rsidP="00471A7E">
      <w:pPr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Nos termos do artigo </w:t>
      </w:r>
      <w:r w:rsidR="00471A7E" w:rsidRPr="00A67AA6">
        <w:rPr>
          <w:rFonts w:asciiTheme="majorHAnsi" w:eastAsia="Times New Roman" w:hAnsiTheme="majorHAnsi" w:cstheme="majorHAnsi"/>
          <w:sz w:val="24"/>
          <w:szCs w:val="24"/>
        </w:rPr>
        <w:t>25 da Resolução 723 do CONTRAN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, requer seja concedido o efeito suspensivo à penalidade em questão</w:t>
      </w:r>
      <w:r w:rsidR="00471A7E" w:rsidRPr="00A67AA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000004E" w14:textId="77777777" w:rsidR="00CB637B" w:rsidRPr="00A67AA6" w:rsidRDefault="00CB637B">
      <w:pPr>
        <w:shd w:val="clear" w:color="auto" w:fill="FFFFFF"/>
        <w:jc w:val="both"/>
        <w:rPr>
          <w:rFonts w:asciiTheme="majorHAnsi" w:eastAsia="Times New Roman" w:hAnsiTheme="majorHAnsi" w:cstheme="majorHAnsi"/>
          <w:b/>
          <w:i/>
          <w:sz w:val="24"/>
          <w:szCs w:val="24"/>
          <w:u w:val="single"/>
        </w:rPr>
      </w:pPr>
    </w:p>
    <w:p w14:paraId="0000004F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V - DOS PEDIDOS: </w:t>
      </w:r>
    </w:p>
    <w:p w14:paraId="00000050" w14:textId="77777777" w:rsidR="00CB637B" w:rsidRPr="00A67AA6" w:rsidRDefault="00000000">
      <w:pPr>
        <w:shd w:val="clear" w:color="auto" w:fill="FFFFFF"/>
        <w:spacing w:line="240" w:lineRule="auto"/>
        <w:ind w:left="-567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00000051" w14:textId="77777777" w:rsidR="00CB637B" w:rsidRPr="00A67AA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Assim, diante do exposto acima, e dos fundamentos legais apresentados para provar as suas razões, o recorrente REQUER a esta autoridade de trânsito, o seguinte:</w:t>
      </w:r>
    </w:p>
    <w:p w14:paraId="00000052" w14:textId="77777777" w:rsidR="00CB637B" w:rsidRPr="00A67AA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/>
        <w:ind w:left="-56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00000053" w14:textId="002EE24C" w:rsidR="00CB637B" w:rsidRPr="00A67AA6" w:rsidRDefault="0000000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lastRenderedPageBreak/>
        <w:t xml:space="preserve">DO JULGAMENTO: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requer seja o presente recurso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RECEBIDO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 em seu </w:t>
      </w: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EFEITO SUSPENSIVO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 xml:space="preserve">, com fulcro no art. </w:t>
      </w:r>
      <w:r w:rsidR="00471A7E" w:rsidRPr="00A67AA6">
        <w:rPr>
          <w:rFonts w:asciiTheme="majorHAnsi" w:eastAsia="Times New Roman" w:hAnsiTheme="majorHAnsi" w:cstheme="majorHAnsi"/>
          <w:sz w:val="24"/>
          <w:szCs w:val="24"/>
        </w:rPr>
        <w:t>25 da Resolução 723 do CONTRAN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;</w:t>
      </w:r>
    </w:p>
    <w:p w14:paraId="00000054" w14:textId="77777777" w:rsidR="00CB637B" w:rsidRPr="00A67AA6" w:rsidRDefault="00CB637B">
      <w:pPr>
        <w:shd w:val="clear" w:color="auto" w:fill="FFFFFF"/>
        <w:spacing w:line="240" w:lineRule="auto"/>
        <w:ind w:left="1134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55" w14:textId="77777777" w:rsidR="00CB637B" w:rsidRPr="00A67AA6" w:rsidRDefault="0000000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DA CIÊNCIA DA DECISÃO: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a Recorrente requer que seja informada sobre a decisão proferida sobre o processo administrativo, no prazo de 10 (dez) dias úteis, devidamente fundamentada pelo chefe da seção, contendo todos os pareceres dos componentes;</w:t>
      </w:r>
    </w:p>
    <w:p w14:paraId="00000056" w14:textId="77777777" w:rsidR="00CB637B" w:rsidRPr="00A67AA6" w:rsidRDefault="00CB637B">
      <w:pPr>
        <w:shd w:val="clear" w:color="auto" w:fill="FFFFFF"/>
        <w:spacing w:line="240" w:lineRule="auto"/>
        <w:ind w:left="1134" w:firstLine="60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57" w14:textId="77777777" w:rsidR="00CB637B" w:rsidRPr="00A67AA6" w:rsidRDefault="0000000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DO ENVIO DE CÓPIAS: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a Recorrente requer seja enviada a cópia do processo administrativo de julgamento dessa peça recursal, no caso de indeferimento dos pedidos;</w:t>
      </w:r>
    </w:p>
    <w:p w14:paraId="00000058" w14:textId="77777777" w:rsidR="00CB637B" w:rsidRPr="00A67AA6" w:rsidRDefault="00CB637B">
      <w:pPr>
        <w:shd w:val="clear" w:color="auto" w:fill="FFFFFF"/>
        <w:spacing w:line="240" w:lineRule="auto"/>
        <w:ind w:left="1134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14:paraId="00000059" w14:textId="77777777" w:rsidR="00CB637B" w:rsidRPr="00A67AA6" w:rsidRDefault="00000000">
      <w:pPr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 xml:space="preserve">DO CANCELAMENTO DO PA: </w:t>
      </w:r>
      <w:r w:rsidRPr="00A67AA6">
        <w:rPr>
          <w:rFonts w:asciiTheme="majorHAnsi" w:eastAsia="Times New Roman" w:hAnsiTheme="majorHAnsi" w:cstheme="majorHAnsi"/>
          <w:sz w:val="24"/>
          <w:szCs w:val="24"/>
        </w:rPr>
        <w:t>cancelamento e arquivamento da presente penalidade, como medida de Justiça!</w:t>
      </w:r>
    </w:p>
    <w:p w14:paraId="0000005A" w14:textId="77777777" w:rsidR="00CB637B" w:rsidRPr="00A67AA6" w:rsidRDefault="00CB637B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000005B" w14:textId="77777777" w:rsidR="00CB637B" w:rsidRPr="00A67AA6" w:rsidRDefault="00CB637B">
      <w:p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000005C" w14:textId="77777777" w:rsidR="00CB637B" w:rsidRPr="00A67AA6" w:rsidRDefault="00000000" w:rsidP="00471A7E">
      <w:pPr>
        <w:shd w:val="clear" w:color="auto" w:fill="FFFFFF"/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Junta documentos probatórios e os demais exigidos,</w:t>
      </w:r>
    </w:p>
    <w:p w14:paraId="0000005D" w14:textId="77777777" w:rsidR="00CB637B" w:rsidRPr="00A67AA6" w:rsidRDefault="00000000" w:rsidP="00471A7E">
      <w:pPr>
        <w:shd w:val="clear" w:color="auto" w:fill="FFFFFF"/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P. deferimento.</w:t>
      </w:r>
    </w:p>
    <w:p w14:paraId="0000005E" w14:textId="77777777" w:rsidR="00CB637B" w:rsidRPr="00A67AA6" w:rsidRDefault="00000000" w:rsidP="00471A7E">
      <w:pPr>
        <w:shd w:val="clear" w:color="auto" w:fill="FFFFFF"/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 </w:t>
      </w:r>
    </w:p>
    <w:p w14:paraId="0000005F" w14:textId="1B910884" w:rsidR="00CB637B" w:rsidRPr="00A67AA6" w:rsidRDefault="00471A7E" w:rsidP="00471A7E">
      <w:pPr>
        <w:shd w:val="clear" w:color="auto" w:fill="FFFFFF"/>
        <w:spacing w:line="240" w:lineRule="auto"/>
        <w:jc w:val="center"/>
        <w:rPr>
          <w:rFonts w:asciiTheme="majorHAnsi" w:eastAsia="Times New Roman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sz w:val="24"/>
          <w:szCs w:val="24"/>
        </w:rPr>
        <w:t>Local, data.</w:t>
      </w:r>
    </w:p>
    <w:p w14:paraId="00000060" w14:textId="77777777" w:rsidR="00CB637B" w:rsidRPr="00A67AA6" w:rsidRDefault="00CB637B" w:rsidP="00471A7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61" w14:textId="77777777" w:rsidR="00CB637B" w:rsidRPr="00A67AA6" w:rsidRDefault="00CB637B" w:rsidP="00471A7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62" w14:textId="77777777" w:rsidR="00CB637B" w:rsidRPr="00A67AA6" w:rsidRDefault="00CB637B" w:rsidP="00471A7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63" w14:textId="77777777" w:rsidR="00CB637B" w:rsidRPr="00A67AA6" w:rsidRDefault="00CB637B" w:rsidP="00471A7E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00000065" w14:textId="718D3BED" w:rsidR="00CB637B" w:rsidRPr="00A67AA6" w:rsidRDefault="00471A7E" w:rsidP="00471A7E">
      <w:pPr>
        <w:shd w:val="clear" w:color="auto" w:fill="FFFFFF"/>
        <w:spacing w:line="24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A67AA6">
        <w:rPr>
          <w:rFonts w:asciiTheme="majorHAnsi" w:eastAsia="Times New Roman" w:hAnsiTheme="majorHAnsi" w:cstheme="majorHAnsi"/>
          <w:b/>
          <w:sz w:val="24"/>
          <w:szCs w:val="24"/>
        </w:rPr>
        <w:t>assinatura</w:t>
      </w:r>
    </w:p>
    <w:p w14:paraId="00000066" w14:textId="77777777" w:rsidR="00CB637B" w:rsidRPr="00A67AA6" w:rsidRDefault="00CB637B">
      <w:pPr>
        <w:shd w:val="clear" w:color="auto" w:fill="FFFFFF"/>
        <w:spacing w:line="24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00000067" w14:textId="77777777" w:rsidR="00CB637B" w:rsidRPr="00A67AA6" w:rsidRDefault="00CB637B">
      <w:pPr>
        <w:shd w:val="clear" w:color="auto" w:fill="FFFFFF"/>
        <w:spacing w:before="240"/>
        <w:ind w:left="-566"/>
        <w:jc w:val="both"/>
        <w:rPr>
          <w:rFonts w:asciiTheme="majorHAnsi" w:eastAsia="Calibri" w:hAnsiTheme="majorHAnsi" w:cstheme="majorHAnsi"/>
        </w:rPr>
      </w:pPr>
    </w:p>
    <w:sectPr w:rsidR="00CB637B" w:rsidRPr="00A67A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9C61EC"/>
    <w:multiLevelType w:val="multilevel"/>
    <w:tmpl w:val="D630874E"/>
    <w:lvl w:ilvl="0">
      <w:start w:val="1"/>
      <w:numFmt w:val="upperRoman"/>
      <w:lvlText w:val="%1."/>
      <w:lvlJc w:val="righ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num w:numId="1" w16cid:durableId="120154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37B"/>
    <w:rsid w:val="003F6204"/>
    <w:rsid w:val="00471A7E"/>
    <w:rsid w:val="00A67AA6"/>
    <w:rsid w:val="00CB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F8C6"/>
  <w15:docId w15:val="{18ACC3C6-ADA1-4480-A99F-2B4EA9E7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1103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 Avallone</cp:lastModifiedBy>
  <cp:revision>2</cp:revision>
  <dcterms:created xsi:type="dcterms:W3CDTF">2023-09-28T16:00:00Z</dcterms:created>
  <dcterms:modified xsi:type="dcterms:W3CDTF">2023-09-28T16:00:00Z</dcterms:modified>
</cp:coreProperties>
</file>