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D0AFA" w14:textId="77777777" w:rsidR="00B74952" w:rsidRDefault="00B74952" w:rsidP="000E4E82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</w:pPr>
      <w:bookmarkStart w:id="0" w:name="_Hlk57576302"/>
      <w:bookmarkEnd w:id="0"/>
    </w:p>
    <w:p w14:paraId="05EB4AD2" w14:textId="34622E0A" w:rsidR="00673BF5" w:rsidRPr="004575F5" w:rsidRDefault="00673BF5" w:rsidP="000E4E8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8"/>
          <w:szCs w:val="28"/>
          <w:lang w:eastAsia="pt-BR"/>
        </w:rPr>
      </w:pPr>
      <w:r w:rsidRPr="004575F5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pt-BR"/>
        </w:rPr>
        <w:t>ILUSTRÍSSIMO</w:t>
      </w:r>
      <w:r w:rsidR="00B74952" w:rsidRPr="004575F5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pt-BR"/>
        </w:rPr>
        <w:t>S</w:t>
      </w:r>
      <w:r w:rsidRPr="004575F5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pt-BR"/>
        </w:rPr>
        <w:t xml:space="preserve"> SENHOR</w:t>
      </w:r>
      <w:r w:rsidR="00B74952" w:rsidRPr="004575F5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pt-BR"/>
        </w:rPr>
        <w:t>ES CONSELHEIROS DO CETRAN</w:t>
      </w:r>
      <w:r w:rsidR="00130B49" w:rsidRPr="004575F5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pt-BR"/>
        </w:rPr>
        <w:t>/SP</w:t>
      </w:r>
    </w:p>
    <w:p w14:paraId="2EA2114A" w14:textId="77777777" w:rsidR="00673BF5" w:rsidRPr="00673BF5" w:rsidRDefault="00673BF5" w:rsidP="000E4E82">
      <w:pPr>
        <w:shd w:val="clear" w:color="auto" w:fill="FFFFFF"/>
        <w:spacing w:after="0" w:line="240" w:lineRule="auto"/>
        <w:jc w:val="center"/>
        <w:rPr>
          <w:rFonts w:eastAsia="Times New Roman" w:cstheme="minorHAnsi"/>
          <w:lang w:eastAsia="pt-BR"/>
        </w:rPr>
      </w:pPr>
      <w:r w:rsidRPr="00673BF5">
        <w:rPr>
          <w:rFonts w:eastAsia="Times New Roman" w:cstheme="minorHAnsi"/>
          <w:lang w:eastAsia="pt-BR"/>
        </w:rPr>
        <w:t> </w:t>
      </w:r>
    </w:p>
    <w:p w14:paraId="731C91E9" w14:textId="77777777" w:rsidR="00B74952" w:rsidRDefault="00B74952" w:rsidP="000E4E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D33B98D" w14:textId="77777777" w:rsidR="00B74952" w:rsidRDefault="00B74952" w:rsidP="000E4E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D5E225E" w14:textId="1FAA4F2D" w:rsidR="002B4787" w:rsidRPr="004575F5" w:rsidRDefault="00B74952" w:rsidP="000E4E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 w:rsidRPr="004575F5">
        <w:rPr>
          <w:rFonts w:ascii="Calibri" w:hAnsi="Calibri" w:cs="Calibri"/>
          <w:color w:val="000000"/>
          <w:sz w:val="22"/>
          <w:szCs w:val="22"/>
        </w:rPr>
        <w:t xml:space="preserve">REF. AUSÊNCIA DE MEDIDA ADMINISTRATIVA EM </w:t>
      </w:r>
      <w:proofErr w:type="spellStart"/>
      <w:r w:rsidRPr="004575F5">
        <w:rPr>
          <w:rFonts w:ascii="Calibri" w:hAnsi="Calibri" w:cs="Calibri"/>
          <w:color w:val="000000"/>
          <w:sz w:val="22"/>
          <w:szCs w:val="22"/>
        </w:rPr>
        <w:t>AITs</w:t>
      </w:r>
      <w:proofErr w:type="spellEnd"/>
      <w:r w:rsidRPr="004575F5">
        <w:rPr>
          <w:rFonts w:ascii="Calibri" w:hAnsi="Calibri" w:cs="Calibri"/>
          <w:color w:val="000000"/>
          <w:sz w:val="22"/>
          <w:szCs w:val="22"/>
        </w:rPr>
        <w:t xml:space="preserve"> POR INFRAÇÃO AOS ARTIGOS 165 E 165-A DO CTB</w:t>
      </w:r>
    </w:p>
    <w:p w14:paraId="63AC47AA" w14:textId="77777777" w:rsidR="00B74952" w:rsidRDefault="00B74952" w:rsidP="000E4E82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5F594989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jc w:val="both"/>
      </w:pPr>
      <w:r>
        <w:t> </w:t>
      </w:r>
    </w:p>
    <w:p w14:paraId="446393B6" w14:textId="0ADF3FF4" w:rsidR="00B74952" w:rsidRDefault="00B74952" w:rsidP="000E4E82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</w:rPr>
      </w:pPr>
      <w:r w:rsidRPr="004575F5">
        <w:rPr>
          <w:rFonts w:ascii="Calibri" w:hAnsi="Calibri" w:cs="Calibri"/>
          <w:color w:val="000000"/>
        </w:rPr>
        <w:t xml:space="preserve">Eu, ERICA AVALLONE LIMA, </w:t>
      </w:r>
      <w:r w:rsidR="002B4787" w:rsidRPr="004575F5">
        <w:rPr>
          <w:rFonts w:ascii="Calibri" w:hAnsi="Calibri" w:cs="Calibri"/>
          <w:color w:val="000000"/>
        </w:rPr>
        <w:t>brasileir</w:t>
      </w:r>
      <w:r w:rsidRPr="004575F5">
        <w:rPr>
          <w:rFonts w:ascii="Calibri" w:hAnsi="Calibri" w:cs="Calibri"/>
          <w:color w:val="000000"/>
        </w:rPr>
        <w:t>a</w:t>
      </w:r>
      <w:r>
        <w:rPr>
          <w:rFonts w:ascii="Calibri" w:hAnsi="Calibri" w:cs="Calibri"/>
          <w:color w:val="000000"/>
        </w:rPr>
        <w:t xml:space="preserve">, casada, advogada regularmente inscrita nos quadros da OAB/SP sob n° 339.386, solicito que Vossa Senhorias se manifestem sobre autos de infração lavrados em decorrência de infrações aos artigos 165 e 165-A, sem observância das </w:t>
      </w:r>
      <w:r w:rsidR="004575F5" w:rsidRPr="004575F5">
        <w:rPr>
          <w:rFonts w:ascii="Calibri" w:hAnsi="Calibri" w:cs="Calibri"/>
          <w:b/>
          <w:bCs/>
          <w:color w:val="000000"/>
        </w:rPr>
        <w:t xml:space="preserve">MEDIDAS ADMINISTRATIVAS </w:t>
      </w:r>
      <w:r>
        <w:rPr>
          <w:rFonts w:ascii="Calibri" w:hAnsi="Calibri" w:cs="Calibri"/>
          <w:color w:val="000000"/>
        </w:rPr>
        <w:t>previstas no próprio texto do</w:t>
      </w:r>
      <w:r w:rsidR="004575F5">
        <w:rPr>
          <w:rFonts w:ascii="Calibri" w:hAnsi="Calibri" w:cs="Calibri"/>
          <w:color w:val="000000"/>
        </w:rPr>
        <w:t>s</w:t>
      </w:r>
      <w:r>
        <w:rPr>
          <w:rFonts w:ascii="Calibri" w:hAnsi="Calibri" w:cs="Calibri"/>
          <w:color w:val="000000"/>
        </w:rPr>
        <w:t xml:space="preserve"> artigo</w:t>
      </w:r>
      <w:r w:rsidR="004575F5">
        <w:rPr>
          <w:rFonts w:ascii="Calibri" w:hAnsi="Calibri" w:cs="Calibri"/>
          <w:color w:val="000000"/>
        </w:rPr>
        <w:t>s supra do CTB</w:t>
      </w:r>
      <w:r>
        <w:rPr>
          <w:rFonts w:ascii="Calibri" w:hAnsi="Calibri" w:cs="Calibri"/>
          <w:color w:val="000000"/>
        </w:rPr>
        <w:t>, bem como na Resolução 432 do CONTRAN conforme segue:</w:t>
      </w:r>
    </w:p>
    <w:p w14:paraId="5473A4D3" w14:textId="73872776" w:rsidR="00B74952" w:rsidRDefault="00B74952" w:rsidP="000E4E82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</w:rPr>
      </w:pPr>
    </w:p>
    <w:p w14:paraId="2301E0E4" w14:textId="77777777" w:rsidR="00B74952" w:rsidRDefault="00B74952" w:rsidP="000E4E82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</w:rPr>
      </w:pPr>
    </w:p>
    <w:p w14:paraId="463BFAB6" w14:textId="4F7E85E0" w:rsidR="00B74952" w:rsidRDefault="00915062" w:rsidP="00B74952">
      <w:pPr>
        <w:keepNext/>
        <w:shd w:val="clear" w:color="auto" w:fill="FFFFFF"/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2B83E" wp14:editId="6FE31604">
                <wp:simplePos x="0" y="0"/>
                <wp:positionH relativeFrom="column">
                  <wp:posOffset>979254</wp:posOffset>
                </wp:positionH>
                <wp:positionV relativeFrom="paragraph">
                  <wp:posOffset>1201889</wp:posOffset>
                </wp:positionV>
                <wp:extent cx="620202" cy="15903"/>
                <wp:effectExtent l="0" t="0" r="27940" b="22225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202" cy="1590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53AD4A" id="Conector reto 2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1pt,94.65pt" to="125.95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93C9C" wp14:editId="07A02FBA">
                <wp:simplePos x="0" y="0"/>
                <wp:positionH relativeFrom="column">
                  <wp:posOffset>3619086</wp:posOffset>
                </wp:positionH>
                <wp:positionV relativeFrom="paragraph">
                  <wp:posOffset>1066717</wp:posOffset>
                </wp:positionV>
                <wp:extent cx="723569" cy="15903"/>
                <wp:effectExtent l="0" t="0" r="19685" b="22225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569" cy="1590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20A7A" id="Conector reto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95pt,84pt" to="341.9pt,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" strokecolor="red" strokeweight=".5pt">
                <v:stroke joinstyle="miter"/>
              </v:line>
            </w:pict>
          </mc:Fallback>
        </mc:AlternateContent>
      </w:r>
      <w:r w:rsidR="00B74952">
        <w:rPr>
          <w:noProof/>
        </w:rPr>
        <w:drawing>
          <wp:inline distT="0" distB="0" distL="0" distR="0" wp14:anchorId="4C294B48" wp14:editId="6739EAB6">
            <wp:extent cx="3975019" cy="1328467"/>
            <wp:effectExtent l="0" t="0" r="6985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546" t="53904" r="71405" b="25989"/>
                    <a:stretch/>
                  </pic:blipFill>
                  <pic:spPr bwMode="auto">
                    <a:xfrm>
                      <a:off x="0" y="0"/>
                      <a:ext cx="4046289" cy="135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BCCFA" w14:textId="4DC19B9C" w:rsidR="00B74952" w:rsidRDefault="00B74952" w:rsidP="00B74952">
      <w:pPr>
        <w:pStyle w:val="Legenda"/>
        <w:jc w:val="center"/>
        <w:rPr>
          <w:rFonts w:ascii="Calibri" w:hAnsi="Calibri" w:cs="Calibri"/>
          <w:color w:val="000000"/>
        </w:rPr>
      </w:pPr>
      <w:r>
        <w:t xml:space="preserve">Este é só um dos vários </w:t>
      </w:r>
      <w:proofErr w:type="spellStart"/>
      <w:r>
        <w:t>AITs</w:t>
      </w:r>
      <w:proofErr w:type="spellEnd"/>
      <w:r>
        <w:t xml:space="preserve"> que tive contato onde há ausência de medida administrativa</w:t>
      </w:r>
    </w:p>
    <w:p w14:paraId="46A7C598" w14:textId="77777777" w:rsidR="00B74952" w:rsidRDefault="00B74952" w:rsidP="000E4E82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</w:rPr>
      </w:pPr>
    </w:p>
    <w:p w14:paraId="5700C3EC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Medidas Administrativas constituem providências imediatas, que visam sanar a infração de trânsito no local, têm o objetivo de completar ou complementar as penalidades, sendo em alguns casos, 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tão importante quanto a própria penalidade, não podendo a autoridade ou agente de trânsito omitir-se em aplicá-la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53691B16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0240F97B" w14:textId="45128271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Ocorre que </w:t>
      </w:r>
      <w:r w:rsidR="00B74952">
        <w:rPr>
          <w:rFonts w:ascii="Calibri" w:hAnsi="Calibri" w:cs="Calibri"/>
          <w:color w:val="000000"/>
          <w:sz w:val="22"/>
          <w:szCs w:val="22"/>
        </w:rPr>
        <w:t xml:space="preserve">em alguns </w:t>
      </w:r>
      <w:proofErr w:type="spellStart"/>
      <w:r w:rsidR="00B74952">
        <w:rPr>
          <w:rFonts w:ascii="Calibri" w:hAnsi="Calibri" w:cs="Calibri"/>
          <w:color w:val="000000"/>
          <w:sz w:val="22"/>
          <w:szCs w:val="22"/>
        </w:rPr>
        <w:t>AITs</w:t>
      </w:r>
      <w:proofErr w:type="spellEnd"/>
      <w:r w:rsidR="00B74952"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</w:rPr>
        <w:t>o</w:t>
      </w:r>
      <w:r w:rsidR="00B74952"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agente</w:t>
      </w:r>
      <w:r w:rsidR="00B74952"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de trânsito que</w:t>
      </w:r>
      <w:r w:rsidR="00B74952">
        <w:rPr>
          <w:rFonts w:ascii="Calibri" w:hAnsi="Calibri" w:cs="Calibri"/>
          <w:color w:val="000000"/>
          <w:sz w:val="22"/>
          <w:szCs w:val="22"/>
        </w:rPr>
        <w:t xml:space="preserve"> o</w:t>
      </w:r>
      <w:r w:rsidR="004575F5"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lavr</w:t>
      </w:r>
      <w:r w:rsidR="00B74952">
        <w:rPr>
          <w:rFonts w:ascii="Calibri" w:hAnsi="Calibri" w:cs="Calibri"/>
          <w:color w:val="000000"/>
          <w:sz w:val="22"/>
          <w:szCs w:val="22"/>
        </w:rPr>
        <w:t xml:space="preserve">aram,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NADA</w:t>
      </w:r>
      <w:r>
        <w:rPr>
          <w:rFonts w:ascii="Calibri" w:hAnsi="Calibri" w:cs="Calibri"/>
          <w:color w:val="000000"/>
          <w:sz w:val="22"/>
          <w:szCs w:val="22"/>
        </w:rPr>
        <w:t xml:space="preserve"> anot</w:t>
      </w:r>
      <w:r w:rsidR="00B74952">
        <w:rPr>
          <w:rFonts w:ascii="Calibri" w:hAnsi="Calibri" w:cs="Calibri"/>
          <w:color w:val="000000"/>
          <w:sz w:val="22"/>
          <w:szCs w:val="22"/>
        </w:rPr>
        <w:t>aram no campo observações</w:t>
      </w:r>
      <w:r>
        <w:rPr>
          <w:rFonts w:ascii="Calibri" w:hAnsi="Calibri" w:cs="Calibri"/>
          <w:color w:val="000000"/>
          <w:sz w:val="22"/>
          <w:szCs w:val="22"/>
        </w:rPr>
        <w:t xml:space="preserve"> quanto a medida administrativa</w:t>
      </w:r>
      <w:r w:rsidR="004575F5">
        <w:rPr>
          <w:rFonts w:ascii="Calibri" w:hAnsi="Calibri" w:cs="Calibri"/>
          <w:color w:val="000000"/>
          <w:sz w:val="22"/>
          <w:szCs w:val="22"/>
        </w:rPr>
        <w:t xml:space="preserve">, supostamente </w:t>
      </w:r>
      <w:r>
        <w:rPr>
          <w:rFonts w:ascii="Calibri" w:hAnsi="Calibri" w:cs="Calibri"/>
          <w:color w:val="000000"/>
          <w:sz w:val="22"/>
          <w:szCs w:val="22"/>
        </w:rPr>
        <w:t>adotada</w:t>
      </w:r>
      <w:r w:rsidR="004575F5"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prevista no art. 9° da Resolução 432 do CONTRAN, vejam:</w:t>
      </w:r>
    </w:p>
    <w:p w14:paraId="11AF9909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188EAE57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DAS MEDIDAS ADMINISTRATIVAS</w:t>
      </w:r>
    </w:p>
    <w:p w14:paraId="34C2EF56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Art. 9º. O veículo será retido até a apresentação de condutor habilitado, que 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u w:val="single"/>
        </w:rPr>
        <w:t>também será submetido à fiscalização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.</w:t>
      </w:r>
    </w:p>
    <w:p w14:paraId="356484C5" w14:textId="2C1CAC0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Parágrafo único. Caso não se apresente condutor habilitado ou o agente verifique que ele não está em condições de dirigir, o veículo será recolhido ao depósito do órgão ou entidade responsável pela fiscalização, mediante recibo.</w:t>
      </w:r>
    </w:p>
    <w:p w14:paraId="6C463AD4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 </w:t>
      </w:r>
    </w:p>
    <w:p w14:paraId="5D4BB8DF" w14:textId="77777777" w:rsidR="002B4787" w:rsidRDefault="002B4787" w:rsidP="000E4E82">
      <w:pPr>
        <w:pStyle w:val="NormalWeb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Art. 165-A</w:t>
      </w:r>
    </w:p>
    <w:p w14:paraId="3D00258B" w14:textId="77777777" w:rsidR="002B4787" w:rsidRDefault="002B4787" w:rsidP="000E4E82">
      <w:pPr>
        <w:pStyle w:val="NormalWeb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(…)</w:t>
      </w:r>
    </w:p>
    <w:p w14:paraId="49AD19DD" w14:textId="77777777" w:rsidR="002B4787" w:rsidRDefault="002B4787" w:rsidP="000E4E82">
      <w:pPr>
        <w:pStyle w:val="NormalWeb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Medida administrativa - recolhimento do documento de habilitação e retenção do veículo, observado o disposto no § 4</w:t>
      </w:r>
      <w:r>
        <w:rPr>
          <w:rFonts w:ascii="Calibri" w:hAnsi="Calibri" w:cs="Calibri"/>
          <w:i/>
          <w:iCs/>
          <w:strike/>
          <w:color w:val="000000"/>
          <w:sz w:val="20"/>
          <w:szCs w:val="20"/>
        </w:rPr>
        <w:t>º</w:t>
      </w:r>
      <w:r>
        <w:rPr>
          <w:rFonts w:ascii="Calibri" w:hAnsi="Calibri" w:cs="Calibri"/>
          <w:i/>
          <w:iCs/>
          <w:color w:val="000000"/>
          <w:sz w:val="20"/>
          <w:szCs w:val="20"/>
        </w:rPr>
        <w:t xml:space="preserve"> do art. 270.           </w:t>
      </w:r>
    </w:p>
    <w:p w14:paraId="10C6215C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 </w:t>
      </w:r>
    </w:p>
    <w:p w14:paraId="2A3E2811" w14:textId="3E459587" w:rsidR="00B93961" w:rsidRDefault="002B4787" w:rsidP="000E4E8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Ora, </w:t>
      </w:r>
      <w:r w:rsidR="00B74952">
        <w:rPr>
          <w:rFonts w:ascii="Calibri" w:hAnsi="Calibri" w:cs="Calibri"/>
          <w:color w:val="000000"/>
          <w:sz w:val="22"/>
          <w:szCs w:val="22"/>
        </w:rPr>
        <w:t xml:space="preserve">se </w:t>
      </w:r>
      <w:r>
        <w:rPr>
          <w:rFonts w:ascii="Calibri" w:hAnsi="Calibri" w:cs="Calibri"/>
          <w:color w:val="000000"/>
          <w:sz w:val="22"/>
          <w:szCs w:val="22"/>
        </w:rPr>
        <w:t>não há no AIT qualquer anotação quanto a medida administrativa</w:t>
      </w:r>
      <w:r w:rsidR="00B74952">
        <w:rPr>
          <w:rFonts w:ascii="Calibri" w:hAnsi="Calibri" w:cs="Calibri"/>
          <w:color w:val="000000"/>
          <w:sz w:val="22"/>
          <w:szCs w:val="22"/>
        </w:rPr>
        <w:t xml:space="preserve">, seja pela </w:t>
      </w:r>
      <w:r w:rsidR="004575F5">
        <w:rPr>
          <w:rFonts w:ascii="Calibri" w:hAnsi="Calibri" w:cs="Calibri"/>
          <w:color w:val="000000"/>
          <w:sz w:val="22"/>
          <w:szCs w:val="22"/>
        </w:rPr>
        <w:t>retenção</w:t>
      </w:r>
      <w:r w:rsidR="00B74952">
        <w:rPr>
          <w:rFonts w:ascii="Calibri" w:hAnsi="Calibri" w:cs="Calibri"/>
          <w:color w:val="000000"/>
          <w:sz w:val="22"/>
          <w:szCs w:val="22"/>
        </w:rPr>
        <w:t xml:space="preserve"> do veículo, seja </w:t>
      </w:r>
      <w:r w:rsidR="004575F5">
        <w:rPr>
          <w:rFonts w:ascii="Calibri" w:hAnsi="Calibri" w:cs="Calibri"/>
          <w:color w:val="000000"/>
          <w:sz w:val="22"/>
          <w:szCs w:val="22"/>
        </w:rPr>
        <w:t>pela liberação do mesmo à condutor habilitado, que também foi (ou pelo menos deveria ser) submetido a teste de etilômetro</w:t>
      </w:r>
      <w:r w:rsidR="001C7228">
        <w:rPr>
          <w:rFonts w:ascii="Calibri" w:hAnsi="Calibri" w:cs="Calibri"/>
          <w:color w:val="000000"/>
          <w:sz w:val="22"/>
          <w:szCs w:val="22"/>
        </w:rPr>
        <w:t>, com a devida anotação, deve haver a anulação do AIT e é neste sentido a solicitação doe parecer a este Conselho.</w:t>
      </w:r>
    </w:p>
    <w:p w14:paraId="1EBA45A7" w14:textId="6B0EE7D7" w:rsidR="00B93961" w:rsidRDefault="00B93961" w:rsidP="000E4E8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35E10A95" w14:textId="1AA5DCCC" w:rsidR="00B93961" w:rsidRDefault="00B93961" w:rsidP="00411AF7">
      <w:pPr>
        <w:pStyle w:val="NormalWeb"/>
        <w:spacing w:before="0" w:beforeAutospacing="0" w:after="0" w:afterAutospacing="0"/>
        <w:jc w:val="center"/>
      </w:pPr>
    </w:p>
    <w:p w14:paraId="7229297A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5AEE0BDF" w14:textId="54C33E3B" w:rsidR="00DF3606" w:rsidRPr="003B7E47" w:rsidRDefault="001C7228" w:rsidP="000E4E8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Calibri"/>
          <w:color w:val="000000"/>
          <w:sz w:val="22"/>
          <w:szCs w:val="22"/>
        </w:rPr>
        <w:t>Isso porque,</w:t>
      </w:r>
      <w:r w:rsidR="00DF3606">
        <w:rPr>
          <w:rFonts w:ascii="Calibri" w:hAnsi="Calibri" w:cs="Calibri"/>
          <w:color w:val="000000"/>
          <w:sz w:val="22"/>
          <w:szCs w:val="22"/>
        </w:rPr>
        <w:t xml:space="preserve"> ao agir assim, o agente de trânsito </w:t>
      </w:r>
      <w:r w:rsidR="00DF3606" w:rsidRPr="003B7E47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deixa em dúvida se realmente houve 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a retenção do veículo ou se foi realmente apresentado um</w:t>
      </w:r>
      <w:r w:rsidR="00DF3606" w:rsidRPr="003B7E47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 condutor habilitado e 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o mais importante, </w:t>
      </w:r>
      <w:r w:rsidR="00DF3606" w:rsidRPr="003B7E47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apto a dirigir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, ou seja, com teste com resultado negativo,</w:t>
      </w:r>
      <w:r w:rsidR="00DF3606" w:rsidRPr="003B7E47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 para retirar o veículo do local da blitz.</w:t>
      </w:r>
    </w:p>
    <w:p w14:paraId="3424D0D2" w14:textId="77777777" w:rsidR="00DF3606" w:rsidRDefault="00DF3606" w:rsidP="000E4E8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302913F9" w14:textId="62C0FD96" w:rsidR="002B4787" w:rsidRDefault="001C7228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Ao não agir dessa forma, o agente de trânsito </w:t>
      </w:r>
      <w:r w:rsidR="002B4787">
        <w:rPr>
          <w:rFonts w:ascii="Calibri" w:hAnsi="Calibri" w:cs="Calibri"/>
          <w:color w:val="000000"/>
          <w:sz w:val="22"/>
          <w:szCs w:val="22"/>
        </w:rPr>
        <w:t xml:space="preserve">coloca em risco a integridade física </w:t>
      </w:r>
      <w:r>
        <w:rPr>
          <w:rFonts w:ascii="Calibri" w:hAnsi="Calibri" w:cs="Calibri"/>
          <w:color w:val="000000"/>
          <w:sz w:val="22"/>
          <w:szCs w:val="22"/>
        </w:rPr>
        <w:t>do motorista</w:t>
      </w:r>
      <w:r w:rsidR="002B4787">
        <w:rPr>
          <w:rFonts w:ascii="Calibri" w:hAnsi="Calibri" w:cs="Calibri"/>
          <w:color w:val="000000"/>
          <w:sz w:val="22"/>
          <w:szCs w:val="22"/>
        </w:rPr>
        <w:t xml:space="preserve"> e de toda a sociedade, </w:t>
      </w:r>
      <w:r>
        <w:rPr>
          <w:rFonts w:ascii="Calibri" w:hAnsi="Calibri" w:cs="Calibri"/>
          <w:color w:val="000000"/>
          <w:sz w:val="22"/>
          <w:szCs w:val="22"/>
        </w:rPr>
        <w:t>além de deixar</w:t>
      </w:r>
      <w:r w:rsidR="002B4787">
        <w:rPr>
          <w:rFonts w:ascii="Calibri" w:hAnsi="Calibri" w:cs="Calibri"/>
          <w:color w:val="000000"/>
          <w:sz w:val="22"/>
          <w:szCs w:val="22"/>
        </w:rPr>
        <w:t xml:space="preserve"> de observar a </w:t>
      </w:r>
      <w:r w:rsidR="002B4787" w:rsidRPr="00DF3606">
        <w:rPr>
          <w:rFonts w:ascii="Calibri" w:hAnsi="Calibri" w:cs="Calibri"/>
          <w:b/>
          <w:bCs/>
          <w:color w:val="000000"/>
          <w:sz w:val="22"/>
          <w:szCs w:val="22"/>
        </w:rPr>
        <w:t>FINALIDADE</w:t>
      </w:r>
      <w:r w:rsidR="002B4787">
        <w:rPr>
          <w:rFonts w:ascii="Calibri" w:hAnsi="Calibri" w:cs="Calibri"/>
          <w:color w:val="000000"/>
          <w:sz w:val="22"/>
          <w:szCs w:val="22"/>
        </w:rPr>
        <w:t xml:space="preserve"> da Lei n° 11705/2008</w:t>
      </w:r>
      <w:r w:rsidR="00411AF7">
        <w:rPr>
          <w:rStyle w:val="Refdenotaderodap"/>
          <w:rFonts w:ascii="Calibri" w:hAnsi="Calibri" w:cs="Calibri"/>
          <w:color w:val="000000"/>
          <w:sz w:val="22"/>
          <w:szCs w:val="22"/>
        </w:rPr>
        <w:footnoteReference w:id="1"/>
      </w:r>
      <w:r w:rsidR="002B4787">
        <w:rPr>
          <w:rFonts w:ascii="Calibri" w:hAnsi="Calibri" w:cs="Calibri"/>
          <w:color w:val="000000"/>
          <w:sz w:val="22"/>
          <w:szCs w:val="22"/>
        </w:rPr>
        <w:t>, conhecida como Lei Seca.</w:t>
      </w:r>
    </w:p>
    <w:p w14:paraId="32F00B9A" w14:textId="77777777" w:rsidR="002B4787" w:rsidRDefault="002B4787" w:rsidP="000E4E82">
      <w:pPr>
        <w:spacing w:after="0" w:line="240" w:lineRule="auto"/>
      </w:pPr>
    </w:p>
    <w:p w14:paraId="619BEB79" w14:textId="74CFAE51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Ocorre que</w:t>
      </w:r>
      <w:r w:rsidR="00A03B81"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575F5">
        <w:rPr>
          <w:rFonts w:ascii="Calibri" w:hAnsi="Calibri" w:cs="Calibri"/>
          <w:color w:val="000000"/>
          <w:sz w:val="22"/>
          <w:szCs w:val="22"/>
        </w:rPr>
        <w:t xml:space="preserve">se não há </w:t>
      </w:r>
      <w:r w:rsidR="00A03B81">
        <w:rPr>
          <w:rFonts w:ascii="Calibri" w:hAnsi="Calibri" w:cs="Calibri"/>
          <w:color w:val="000000"/>
          <w:sz w:val="22"/>
          <w:szCs w:val="22"/>
        </w:rPr>
        <w:t xml:space="preserve">no campo observações, qualquer menção à </w:t>
      </w:r>
      <w:r w:rsidR="004575F5">
        <w:rPr>
          <w:rFonts w:ascii="Calibri" w:hAnsi="Calibri" w:cs="Calibri"/>
          <w:color w:val="000000"/>
          <w:sz w:val="22"/>
          <w:szCs w:val="22"/>
        </w:rPr>
        <w:t>medida administrativa adotada, podemos concluir que o</w:t>
      </w:r>
      <w:r w:rsidR="001C7228">
        <w:rPr>
          <w:rFonts w:ascii="Calibri" w:hAnsi="Calibri" w:cs="Calibri"/>
          <w:color w:val="000000"/>
          <w:sz w:val="22"/>
          <w:szCs w:val="22"/>
        </w:rPr>
        <w:t xml:space="preserve">u o veículo foi liberado ao próprio </w:t>
      </w:r>
      <w:r w:rsidR="00A03B81">
        <w:rPr>
          <w:rFonts w:ascii="Calibri" w:hAnsi="Calibri" w:cs="Calibri"/>
          <w:color w:val="000000"/>
          <w:sz w:val="22"/>
          <w:szCs w:val="22"/>
        </w:rPr>
        <w:t>motorista abordado</w:t>
      </w:r>
      <w:r w:rsidR="001C7228">
        <w:rPr>
          <w:rFonts w:ascii="Calibri" w:hAnsi="Calibri" w:cs="Calibri"/>
          <w:color w:val="000000"/>
          <w:sz w:val="22"/>
          <w:szCs w:val="22"/>
        </w:rPr>
        <w:t xml:space="preserve"> ou que </w:t>
      </w:r>
      <w:r w:rsidR="00A03B81">
        <w:rPr>
          <w:rFonts w:ascii="Calibri" w:hAnsi="Calibri" w:cs="Calibri"/>
          <w:color w:val="000000"/>
          <w:sz w:val="22"/>
          <w:szCs w:val="22"/>
        </w:rPr>
        <w:t xml:space="preserve">o veículo </w:t>
      </w:r>
      <w:r w:rsidR="001C7228">
        <w:rPr>
          <w:rFonts w:ascii="Calibri" w:hAnsi="Calibri" w:cs="Calibri"/>
          <w:color w:val="000000"/>
          <w:sz w:val="22"/>
          <w:szCs w:val="22"/>
        </w:rPr>
        <w:t>foi liberado para outro condutor</w:t>
      </w:r>
      <w:r w:rsidR="00A03B81">
        <w:rPr>
          <w:rFonts w:ascii="Calibri" w:hAnsi="Calibri" w:cs="Calibri"/>
          <w:color w:val="000000"/>
          <w:sz w:val="22"/>
          <w:szCs w:val="22"/>
        </w:rPr>
        <w:t>, porém</w:t>
      </w:r>
      <w:r w:rsidR="001C7228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sem submete</w:t>
      </w:r>
      <w:r w:rsidR="001C722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-lo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 ao teste</w:t>
      </w:r>
      <w:r w:rsidR="001C722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 do bafômetro</w:t>
      </w:r>
      <w:r w:rsidR="001C7228">
        <w:rPr>
          <w:rFonts w:ascii="Calibri" w:hAnsi="Calibri" w:cs="Calibri"/>
          <w:color w:val="000000"/>
          <w:sz w:val="22"/>
          <w:szCs w:val="22"/>
        </w:rPr>
        <w:t>.</w:t>
      </w:r>
    </w:p>
    <w:p w14:paraId="35A56CEE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2650B67C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Nesse caso, é possível concluir que: </w:t>
      </w:r>
    </w:p>
    <w:p w14:paraId="01758C97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159F32A8" w14:textId="1D0D0D43" w:rsidR="002B4787" w:rsidRDefault="002B4787" w:rsidP="002F7EF7">
      <w:pPr>
        <w:pStyle w:val="NormalWeb"/>
        <w:spacing w:before="0" w:beforeAutospacing="0" w:after="0" w:afterAutospacing="0"/>
        <w:ind w:left="1276" w:hanging="567"/>
        <w:jc w:val="both"/>
      </w:pPr>
      <w:r>
        <w:rPr>
          <w:rFonts w:ascii="Calibri" w:hAnsi="Calibri" w:cs="Calibri"/>
          <w:color w:val="000000"/>
          <w:sz w:val="22"/>
          <w:szCs w:val="22"/>
        </w:rPr>
        <w:t>1.         Ou o agente de trânsito foi omisso na aplicação de seu dever</w:t>
      </w:r>
      <w:r w:rsidR="002F7EF7">
        <w:rPr>
          <w:rFonts w:ascii="Calibri" w:hAnsi="Calibri" w:cs="Calibri"/>
          <w:color w:val="000000"/>
          <w:sz w:val="22"/>
          <w:szCs w:val="22"/>
        </w:rPr>
        <w:t>, ao não preencher o AIT como manda a legislação, o que o torna nulo</w:t>
      </w:r>
      <w:r>
        <w:rPr>
          <w:rFonts w:ascii="Calibri" w:hAnsi="Calibri" w:cs="Calibri"/>
          <w:color w:val="000000"/>
          <w:sz w:val="22"/>
          <w:szCs w:val="22"/>
        </w:rPr>
        <w:t>;</w:t>
      </w:r>
    </w:p>
    <w:p w14:paraId="17671A8C" w14:textId="77777777" w:rsidR="002B4787" w:rsidRDefault="002B4787" w:rsidP="002F7EF7">
      <w:pPr>
        <w:pStyle w:val="NormalWeb"/>
        <w:spacing w:before="0" w:beforeAutospacing="0" w:after="0" w:afterAutospacing="0"/>
        <w:ind w:left="1276" w:hanging="567"/>
        <w:jc w:val="both"/>
      </w:pPr>
      <w:r>
        <w:rPr>
          <w:rFonts w:ascii="Calibri" w:hAnsi="Calibri" w:cs="Calibri"/>
          <w:color w:val="000000"/>
          <w:sz w:val="22"/>
          <w:szCs w:val="22"/>
        </w:rPr>
        <w:t>2.         Ou não havia infração de trânsito a ser regularizada, o que justificou a liberação do veículo; </w:t>
      </w:r>
    </w:p>
    <w:p w14:paraId="69721EB9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5A1187B1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Esse também é o entendimento de nossos tribunais, dos quais, citamos jurisprudência em situação similar:</w:t>
      </w:r>
    </w:p>
    <w:p w14:paraId="6D8F89C8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6A5C0DB" w14:textId="77777777" w:rsidR="002B4787" w:rsidRDefault="002B4787" w:rsidP="000E4E82">
      <w:pPr>
        <w:pStyle w:val="NormalWeb"/>
        <w:spacing w:before="0" w:beforeAutospacing="0" w:after="0" w:afterAutospacing="0"/>
        <w:ind w:left="114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APELAÇÃO CÍVEL E REEXAME NECESSÁRIO - AÇÃO DECLARATÓRIA DE NULIDADE DE ATO ADMINISTRATIVO - PENALIDADE IMPOSTA PELO RECORRENTE CONSUBSTANCIADA NA SUSPENSÃO DO DIREITO DE DIRIGIR, MULTA E PONTUAÇÃO NA CARTEIRA NACIONAL DE HABILITAÇÃO - CONDUTOR ALVO DE FISCALIZAÇÃO DE TRÂNSITO SOB A ACUSAÇÃO DE DIRIGIR SOB EFEITO DE ÁLCOOL, APRESENTANDO SINAIS NOTÓRIOS DE EMBRIGUEZ - RECUSA DE SE SUBMETER AO EXAME DE "BAFÔMETRO" - 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LIBERAÇÃO LOGO EM SEGUIDA, SEM ADOÇÃO DE MEDIDA ADMINISTRATIVA DE RETENÇÃO DO VEÍCULO, ATÉ A APRESENTAÇÃO DE CONDUTOR HABILITADO, E RECOLHIMENTO DO DOCUMENTO DE HABILITAÇÃO - OMISSÃO DO AGENTE DE TRÂNSITO QUE ABALA A PRESUNÇÃO DE LEGALIDADE E VERACIDADE DO ATO ADMINISTRATIVO - ATO ANULADO</w:t>
      </w:r>
      <w:r>
        <w:rPr>
          <w:rFonts w:ascii="Calibri" w:hAnsi="Calibri" w:cs="Calibri"/>
          <w:color w:val="000000"/>
          <w:sz w:val="22"/>
          <w:szCs w:val="22"/>
        </w:rPr>
        <w:t xml:space="preserve"> - ACERTO DA R. SENTENÇA - RESTITUIÇÃO DO VALOR RECOLHIDO CORRESPONDENTE AO VALOR DA MULTA - JUROS DE MORA E CORREÇÃO MONETÁRIA - CONDENAÇÃO CONTRA A FAZENDA PÚBLICA -  VERBA SUCUMBENCIAL MANTIDA COMO FIXADA - RECURSO CONHECIDO A QUE SE DÁ PARCIAL PROVIMENTO - REEXAME NECESSÁRIO NÃO CONHECIDO - ART. 475 § 2º DO CÓDIGO DE PROCESSO CIVIL.1º9.49411.960475§ 2ºCÓDIGO DE PROCESSO CIVIL (7501888 PR 0750188-8, Relator: Lélia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Samardã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Giacomet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Data de Julgamento: 14/06/2011, 4ª Câmara Cível, Data de Publicação: DJ: 659)</w:t>
      </w:r>
    </w:p>
    <w:p w14:paraId="0FE46D80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4949761B" w14:textId="4525113A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Perceba</w:t>
      </w:r>
      <w:r w:rsidR="002F7EF7"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a inconsistência e o </w:t>
      </w:r>
      <w:r w:rsidRPr="002F7EF7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desvio de finalidade</w:t>
      </w:r>
      <w:r>
        <w:rPr>
          <w:rFonts w:ascii="Calibri" w:hAnsi="Calibri" w:cs="Calibri"/>
          <w:color w:val="000000"/>
          <w:sz w:val="22"/>
          <w:szCs w:val="22"/>
        </w:rPr>
        <w:t xml:space="preserve"> da norma quando da expedição deste ato administrativo</w:t>
      </w:r>
      <w:r w:rsidR="002F7EF7">
        <w:rPr>
          <w:rFonts w:ascii="Calibri" w:hAnsi="Calibri" w:cs="Calibri"/>
          <w:color w:val="000000"/>
          <w:sz w:val="22"/>
          <w:szCs w:val="22"/>
        </w:rPr>
        <w:t xml:space="preserve"> sem observar a medida administrativa exposta no texto legal.</w:t>
      </w:r>
    </w:p>
    <w:p w14:paraId="2244C2E7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42F5CA45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A finalidade é um dos elementos do ato administrativo, d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iz respeito aos requisitos para a </w:t>
      </w:r>
      <w:r>
        <w:rPr>
          <w:rFonts w:ascii="Calibri" w:hAnsi="Calibri" w:cs="Calibri"/>
          <w:color w:val="000000"/>
          <w:sz w:val="22"/>
          <w:szCs w:val="22"/>
          <w:u w:val="single"/>
          <w:shd w:val="clear" w:color="auto" w:fill="FFFFFF"/>
        </w:rPr>
        <w:t>validade de um ato administrativo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6A5D954D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lastRenderedPageBreak/>
        <w:t> </w:t>
      </w:r>
    </w:p>
    <w:p w14:paraId="23359BD1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A finalidade é</w:t>
      </w:r>
      <w:r>
        <w:rPr>
          <w:rFonts w:ascii="Calibri" w:hAnsi="Calibri" w:cs="Calibri"/>
          <w:color w:val="000000"/>
          <w:sz w:val="22"/>
          <w:szCs w:val="22"/>
        </w:rPr>
        <w:t xml:space="preserve"> o objetivo que a administração pretende alcançar com a prática do ato administrativo, sendo aquela que a lei institui explícita ou implicitamente, não sendo cabível que o administrador a substitua por outra. A finalidade deve ser sempre o interesse público 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 finalidade específica prevista em lei para aquele ato da administração</w:t>
      </w:r>
      <w:r>
        <w:rPr>
          <w:rFonts w:ascii="Calibri" w:hAnsi="Calibri" w:cs="Calibri"/>
          <w:color w:val="000000"/>
          <w:sz w:val="22"/>
          <w:szCs w:val="22"/>
        </w:rPr>
        <w:t>, que é o caso do art. 165-A do CTB e da Lei 11705/2008 é a segurança da sociedade.</w:t>
      </w:r>
    </w:p>
    <w:p w14:paraId="5AA76988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6388609E" w14:textId="2E49183B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Assim, há vício com relação à finalidade (desvio de finalidade), uma vez que o ato (lavratura </w:t>
      </w:r>
      <w:r w:rsidR="002F7EF7">
        <w:rPr>
          <w:rFonts w:ascii="Calibri" w:hAnsi="Calibri" w:cs="Calibri"/>
          <w:color w:val="000000"/>
          <w:sz w:val="22"/>
          <w:szCs w:val="22"/>
        </w:rPr>
        <w:t>do</w:t>
      </w:r>
      <w:r>
        <w:rPr>
          <w:rFonts w:ascii="Calibri" w:hAnsi="Calibri" w:cs="Calibri"/>
          <w:color w:val="000000"/>
          <w:sz w:val="22"/>
          <w:szCs w:val="22"/>
        </w:rPr>
        <w:t xml:space="preserve"> AIT) não foi usado para a finalidade que dele se espera</w:t>
      </w:r>
      <w:r w:rsidR="002F7EF7">
        <w:rPr>
          <w:rFonts w:ascii="Calibri" w:hAnsi="Calibri" w:cs="Calibri"/>
          <w:color w:val="000000"/>
          <w:sz w:val="22"/>
          <w:szCs w:val="22"/>
        </w:rPr>
        <w:t>, ou seja, preservar a integridade física do motorista e de toda a sociedade</w:t>
      </w:r>
      <w:r w:rsidR="00066A6D">
        <w:rPr>
          <w:rFonts w:ascii="Calibri" w:hAnsi="Calibri" w:cs="Calibri"/>
          <w:color w:val="000000"/>
          <w:sz w:val="22"/>
          <w:szCs w:val="22"/>
        </w:rPr>
        <w:t>, já que não houve, nestes casos, observância da medida administrativa.</w:t>
      </w:r>
    </w:p>
    <w:p w14:paraId="01EF81EB" w14:textId="77777777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5C57B2CA" w14:textId="15027999" w:rsidR="002B4787" w:rsidRDefault="002B4787" w:rsidP="000E4E82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Nesses termos, </w:t>
      </w:r>
      <w:r w:rsidR="00066A6D">
        <w:rPr>
          <w:rFonts w:ascii="Calibri" w:hAnsi="Calibri" w:cs="Calibri"/>
          <w:color w:val="000000"/>
          <w:sz w:val="22"/>
          <w:szCs w:val="22"/>
        </w:rPr>
        <w:t xml:space="preserve">a anulação e arquivamento dos </w:t>
      </w:r>
      <w:proofErr w:type="spellStart"/>
      <w:r w:rsidR="00066A6D">
        <w:rPr>
          <w:rFonts w:ascii="Calibri" w:hAnsi="Calibri" w:cs="Calibri"/>
          <w:color w:val="000000"/>
          <w:sz w:val="22"/>
          <w:szCs w:val="22"/>
        </w:rPr>
        <w:t>AITs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conforme determina o artigo 281</w:t>
      </w:r>
      <w:r w:rsidR="00411AF7">
        <w:rPr>
          <w:rStyle w:val="Refdenotaderodap"/>
          <w:rFonts w:ascii="Calibri" w:hAnsi="Calibri" w:cs="Calibri"/>
          <w:color w:val="000000"/>
          <w:sz w:val="22"/>
          <w:szCs w:val="22"/>
        </w:rPr>
        <w:footnoteReference w:id="2"/>
      </w:r>
      <w:r>
        <w:rPr>
          <w:rFonts w:ascii="Calibri" w:hAnsi="Calibri" w:cs="Calibri"/>
          <w:color w:val="000000"/>
          <w:sz w:val="22"/>
          <w:szCs w:val="22"/>
        </w:rPr>
        <w:t xml:space="preserve">, do Código de Trânsito Brasileiro, bem como por </w:t>
      </w:r>
      <w:r w:rsidR="00947070">
        <w:rPr>
          <w:rFonts w:ascii="Calibri" w:hAnsi="Calibri" w:cs="Calibri"/>
          <w:color w:val="000000"/>
          <w:sz w:val="22"/>
          <w:szCs w:val="22"/>
        </w:rPr>
        <w:t xml:space="preserve">haver </w:t>
      </w:r>
      <w:r>
        <w:rPr>
          <w:rFonts w:ascii="Calibri" w:hAnsi="Calibri" w:cs="Calibri"/>
          <w:color w:val="000000"/>
          <w:sz w:val="22"/>
          <w:szCs w:val="22"/>
        </w:rPr>
        <w:t>desvio de finalidade</w:t>
      </w:r>
      <w:r w:rsidR="00066A6D">
        <w:rPr>
          <w:rFonts w:ascii="Calibri" w:hAnsi="Calibri" w:cs="Calibri"/>
          <w:color w:val="000000"/>
          <w:sz w:val="22"/>
          <w:szCs w:val="22"/>
        </w:rPr>
        <w:t xml:space="preserve"> é a medida que se impões e é neste sentido que a Solicitante, abaixo assinada e </w:t>
      </w:r>
      <w:r w:rsidR="006C6BBF">
        <w:rPr>
          <w:rFonts w:ascii="Calibri" w:hAnsi="Calibri" w:cs="Calibri"/>
          <w:color w:val="000000"/>
          <w:sz w:val="22"/>
          <w:szCs w:val="22"/>
        </w:rPr>
        <w:t xml:space="preserve">qualificada no preambulo, solicita o parecer dos </w:t>
      </w:r>
      <w:r w:rsidR="00947070">
        <w:rPr>
          <w:rFonts w:ascii="Calibri" w:hAnsi="Calibri" w:cs="Calibri"/>
          <w:color w:val="000000"/>
          <w:sz w:val="22"/>
          <w:szCs w:val="22"/>
        </w:rPr>
        <w:t>M</w:t>
      </w:r>
      <w:r w:rsidR="006C6BBF">
        <w:rPr>
          <w:rFonts w:ascii="Calibri" w:hAnsi="Calibri" w:cs="Calibri"/>
          <w:color w:val="000000"/>
          <w:sz w:val="22"/>
          <w:szCs w:val="22"/>
        </w:rPr>
        <w:t xml:space="preserve">embros deste </w:t>
      </w:r>
      <w:r w:rsidR="00947070">
        <w:rPr>
          <w:rFonts w:ascii="Calibri" w:hAnsi="Calibri" w:cs="Calibri"/>
          <w:color w:val="000000"/>
          <w:sz w:val="22"/>
          <w:szCs w:val="22"/>
        </w:rPr>
        <w:t>C</w:t>
      </w:r>
      <w:r w:rsidR="006C6BBF">
        <w:rPr>
          <w:rFonts w:ascii="Calibri" w:hAnsi="Calibri" w:cs="Calibri"/>
          <w:color w:val="000000"/>
          <w:sz w:val="22"/>
          <w:szCs w:val="22"/>
        </w:rPr>
        <w:t>onselho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2B72E5D9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0597ED56" w14:textId="77777777" w:rsidR="002B4787" w:rsidRDefault="002B4787" w:rsidP="00B93961">
      <w:pPr>
        <w:pStyle w:val="NormalWeb"/>
        <w:shd w:val="clear" w:color="auto" w:fill="FFFFFF"/>
        <w:spacing w:before="0" w:beforeAutospacing="0" w:after="0" w:afterAutospacing="0"/>
        <w:jc w:val="both"/>
      </w:pPr>
      <w:r>
        <w:t> </w:t>
      </w:r>
    </w:p>
    <w:p w14:paraId="26F1A0BE" w14:textId="522156E7" w:rsidR="002B4787" w:rsidRDefault="002B4787" w:rsidP="006C6BBF">
      <w:pPr>
        <w:pStyle w:val="NormalWeb"/>
        <w:shd w:val="clear" w:color="auto" w:fill="FFFFFF"/>
        <w:spacing w:before="0" w:beforeAutospacing="0" w:after="0" w:afterAutospacing="0"/>
        <w:ind w:left="-567"/>
        <w:jc w:val="center"/>
      </w:pPr>
      <w:r>
        <w:rPr>
          <w:rFonts w:ascii="Calibri" w:hAnsi="Calibri" w:cs="Calibri"/>
          <w:color w:val="000000"/>
          <w:sz w:val="22"/>
          <w:szCs w:val="22"/>
        </w:rPr>
        <w:t>Junt</w:t>
      </w:r>
      <w:r w:rsidR="006C6BBF"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documentos </w:t>
      </w:r>
      <w:r w:rsidR="006C6BBF">
        <w:rPr>
          <w:rFonts w:ascii="Calibri" w:hAnsi="Calibri" w:cs="Calibri"/>
          <w:color w:val="000000"/>
          <w:sz w:val="22"/>
          <w:szCs w:val="22"/>
        </w:rPr>
        <w:t>em anexo e aguardo.</w:t>
      </w:r>
    </w:p>
    <w:p w14:paraId="1EB07304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-567"/>
        <w:jc w:val="center"/>
      </w:pPr>
      <w:r>
        <w:t> </w:t>
      </w:r>
    </w:p>
    <w:p w14:paraId="723919B2" w14:textId="4E5313DC" w:rsidR="002B4787" w:rsidRDefault="00D34E35" w:rsidP="000E4E82">
      <w:pPr>
        <w:pStyle w:val="NormalWeb"/>
        <w:shd w:val="clear" w:color="auto" w:fill="FFFFFF"/>
        <w:spacing w:before="0" w:beforeAutospacing="0" w:after="0" w:afterAutospacing="0"/>
        <w:ind w:left="-567"/>
        <w:jc w:val="center"/>
      </w:pPr>
      <w:r>
        <w:rPr>
          <w:rFonts w:ascii="Calibri" w:hAnsi="Calibri" w:cs="Calibri"/>
          <w:color w:val="000000"/>
          <w:sz w:val="22"/>
          <w:szCs w:val="22"/>
        </w:rPr>
        <w:t>Local. Data.</w:t>
      </w:r>
    </w:p>
    <w:p w14:paraId="139BB92D" w14:textId="02BB555C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</w:pPr>
    </w:p>
    <w:p w14:paraId="4029D0F0" w14:textId="77777777" w:rsidR="00D34E35" w:rsidRDefault="00D34E35" w:rsidP="000E4E82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</w:pPr>
    </w:p>
    <w:p w14:paraId="1DCC9640" w14:textId="77777777" w:rsidR="00D34E35" w:rsidRDefault="00D34E35" w:rsidP="000E4E82">
      <w:pPr>
        <w:pStyle w:val="NormalWeb"/>
        <w:shd w:val="clear" w:color="auto" w:fill="FFFFFF"/>
        <w:spacing w:before="0" w:beforeAutospacing="0" w:after="0" w:afterAutospacing="0"/>
        <w:ind w:left="-567"/>
        <w:jc w:val="center"/>
      </w:pPr>
    </w:p>
    <w:p w14:paraId="3BFD8EBC" w14:textId="49E91A17" w:rsidR="002B4787" w:rsidRDefault="004575F5" w:rsidP="000E4E82">
      <w:pPr>
        <w:pStyle w:val="NormalWeb"/>
        <w:shd w:val="clear" w:color="auto" w:fill="FFFFFF"/>
        <w:spacing w:before="0" w:beforeAutospacing="0" w:after="0" w:afterAutospacing="0"/>
        <w:ind w:left="-426"/>
        <w:jc w:val="center"/>
      </w:pPr>
      <w:r>
        <w:rPr>
          <w:rFonts w:ascii="Calibri" w:hAnsi="Calibri" w:cs="Calibri"/>
          <w:color w:val="000000"/>
          <w:sz w:val="22"/>
          <w:szCs w:val="22"/>
        </w:rPr>
        <w:t>E</w:t>
      </w:r>
      <w:r w:rsidR="002B4787">
        <w:rPr>
          <w:rFonts w:ascii="Calibri" w:hAnsi="Calibri" w:cs="Calibri"/>
          <w:color w:val="000000"/>
          <w:sz w:val="22"/>
          <w:szCs w:val="22"/>
        </w:rPr>
        <w:t>rica Avallone Lima</w:t>
      </w:r>
    </w:p>
    <w:p w14:paraId="0959874F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-426"/>
        <w:jc w:val="center"/>
      </w:pPr>
      <w:r>
        <w:rPr>
          <w:rFonts w:ascii="Calibri" w:hAnsi="Calibri" w:cs="Calibri"/>
          <w:color w:val="000000"/>
          <w:sz w:val="22"/>
          <w:szCs w:val="22"/>
        </w:rPr>
        <w:t>OAB/SP 339.386</w:t>
      </w:r>
    </w:p>
    <w:p w14:paraId="4AA8A057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-426"/>
        <w:jc w:val="center"/>
      </w:pPr>
      <w:r>
        <w:t> </w:t>
      </w:r>
    </w:p>
    <w:p w14:paraId="696A3838" w14:textId="77777777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ind w:left="-426"/>
        <w:jc w:val="center"/>
      </w:pPr>
      <w:r>
        <w:t> </w:t>
      </w:r>
    </w:p>
    <w:p w14:paraId="65E9AD7F" w14:textId="77777777" w:rsidR="002B4787" w:rsidRPr="00673BF5" w:rsidRDefault="002B4787" w:rsidP="000E4E82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2EEE441D" w14:textId="77777777" w:rsidR="00673BF5" w:rsidRPr="00673BF5" w:rsidRDefault="00673BF5" w:rsidP="000E4E82">
      <w:pPr>
        <w:spacing w:after="0" w:line="240" w:lineRule="auto"/>
        <w:rPr>
          <w:rFonts w:eastAsia="Times New Roman" w:cstheme="minorHAnsi"/>
          <w:lang w:eastAsia="pt-BR"/>
        </w:rPr>
      </w:pPr>
    </w:p>
    <w:p w14:paraId="07AA0B1E" w14:textId="77777777" w:rsidR="00130B49" w:rsidRDefault="00130B49" w:rsidP="000E4E82">
      <w:pPr>
        <w:shd w:val="clear" w:color="auto" w:fill="FFFFFF"/>
        <w:spacing w:after="0" w:line="240" w:lineRule="auto"/>
        <w:ind w:left="-284"/>
        <w:jc w:val="center"/>
        <w:rPr>
          <w:rFonts w:eastAsia="Times New Roman" w:cstheme="minorHAnsi"/>
          <w:color w:val="000000"/>
          <w:lang w:eastAsia="pt-BR"/>
        </w:rPr>
      </w:pPr>
    </w:p>
    <w:p w14:paraId="2179289C" w14:textId="77777777" w:rsidR="00130B49" w:rsidRPr="0031731A" w:rsidRDefault="00130B49" w:rsidP="000E4E82">
      <w:pPr>
        <w:shd w:val="clear" w:color="auto" w:fill="FFFFFF"/>
        <w:spacing w:after="0" w:line="240" w:lineRule="auto"/>
        <w:ind w:left="-284"/>
        <w:jc w:val="center"/>
        <w:rPr>
          <w:rFonts w:eastAsia="Times New Roman" w:cstheme="minorHAnsi"/>
          <w:lang w:eastAsia="pt-BR"/>
        </w:rPr>
      </w:pPr>
    </w:p>
    <w:sectPr w:rsidR="00130B49" w:rsidRPr="0031731A" w:rsidSect="002F7EF7">
      <w:headerReference w:type="default" r:id="rId9"/>
      <w:footerReference w:type="default" r:id="rId10"/>
      <w:pgSz w:w="11906" w:h="16838"/>
      <w:pgMar w:top="1276" w:right="1701" w:bottom="709" w:left="1701" w:header="284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11C4A" w14:textId="77777777" w:rsidR="00F65219" w:rsidRDefault="00F65219" w:rsidP="00D92A33">
      <w:pPr>
        <w:spacing w:after="0" w:line="240" w:lineRule="auto"/>
      </w:pPr>
      <w:r>
        <w:separator/>
      </w:r>
    </w:p>
  </w:endnote>
  <w:endnote w:type="continuationSeparator" w:id="0">
    <w:p w14:paraId="3A027156" w14:textId="77777777" w:rsidR="00F65219" w:rsidRDefault="00F65219" w:rsidP="00D9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6A0B1" w14:textId="19CBB692" w:rsidR="006C6BBF" w:rsidRDefault="006C6BBF" w:rsidP="00B74952">
    <w:pPr>
      <w:pBdr>
        <w:bottom w:val="single" w:sz="12" w:space="1" w:color="auto"/>
      </w:pBdr>
      <w:spacing w:after="0" w:line="240" w:lineRule="auto"/>
      <w:jc w:val="center"/>
      <w:rPr>
        <w:color w:val="A6A6A6" w:themeColor="background1" w:themeShade="A6"/>
        <w:sz w:val="20"/>
        <w:szCs w:val="20"/>
      </w:rPr>
    </w:pPr>
  </w:p>
  <w:p w14:paraId="664ACEEB" w14:textId="7B002489" w:rsidR="00B74952" w:rsidRPr="00B74952" w:rsidRDefault="00B74952" w:rsidP="00B74952">
    <w:pPr>
      <w:spacing w:after="0" w:line="240" w:lineRule="auto"/>
      <w:jc w:val="center"/>
      <w:rPr>
        <w:color w:val="A6A6A6" w:themeColor="background1" w:themeShade="A6"/>
        <w:sz w:val="20"/>
        <w:szCs w:val="20"/>
      </w:rPr>
    </w:pPr>
    <w:r w:rsidRPr="00B74952">
      <w:rPr>
        <w:color w:val="A6A6A6" w:themeColor="background1" w:themeShade="A6"/>
        <w:sz w:val="20"/>
        <w:szCs w:val="20"/>
      </w:rPr>
      <w:t>Rua Campos Salles, n° 308 | Centro | Botucatu/SP | CEP 18600-090</w:t>
    </w:r>
  </w:p>
  <w:p w14:paraId="5EF0EDF4" w14:textId="7A6596B8" w:rsidR="00B74952" w:rsidRPr="00B74952" w:rsidRDefault="00B74952" w:rsidP="00B74952">
    <w:pPr>
      <w:spacing w:after="0" w:line="240" w:lineRule="auto"/>
      <w:jc w:val="center"/>
      <w:rPr>
        <w:color w:val="A6A6A6" w:themeColor="background1" w:themeShade="A6"/>
        <w:sz w:val="20"/>
        <w:szCs w:val="20"/>
      </w:rPr>
    </w:pPr>
    <w:r w:rsidRPr="00B74952">
      <w:rPr>
        <w:color w:val="A6A6A6" w:themeColor="background1" w:themeShade="A6"/>
        <w:sz w:val="20"/>
        <w:szCs w:val="20"/>
      </w:rPr>
      <w:t xml:space="preserve">Contatos (14) 99750-2663 | </w:t>
    </w:r>
    <w:hyperlink r:id="rId1" w:tgtFrame="_blank" w:history="1">
      <w:r w:rsidRPr="00B74952">
        <w:rPr>
          <w:rStyle w:val="Hyperlink"/>
          <w:color w:val="A6A6A6" w:themeColor="background1" w:themeShade="A6"/>
          <w:sz w:val="20"/>
          <w:szCs w:val="20"/>
        </w:rPr>
        <w:t>erica@avallonelima.com.br</w:t>
      </w:r>
    </w:hyperlink>
  </w:p>
  <w:p w14:paraId="5BE588A6" w14:textId="77777777" w:rsidR="00B74952" w:rsidRPr="00B74952" w:rsidRDefault="00000000" w:rsidP="00B74952">
    <w:pPr>
      <w:spacing w:after="0" w:line="240" w:lineRule="auto"/>
      <w:jc w:val="center"/>
      <w:rPr>
        <w:color w:val="A6A6A6" w:themeColor="background1" w:themeShade="A6"/>
        <w:sz w:val="20"/>
        <w:szCs w:val="20"/>
      </w:rPr>
    </w:pPr>
    <w:hyperlink r:id="rId2" w:tgtFrame="_blank" w:history="1">
      <w:r w:rsidR="00B74952" w:rsidRPr="00B74952">
        <w:rPr>
          <w:rStyle w:val="Hyperlink"/>
          <w:color w:val="A6A6A6" w:themeColor="background1" w:themeShade="A6"/>
          <w:sz w:val="20"/>
          <w:szCs w:val="20"/>
        </w:rPr>
        <w:t xml:space="preserve">INSTAGRAN </w:t>
      </w:r>
    </w:hyperlink>
    <w:r w:rsidR="00B74952" w:rsidRPr="00B74952">
      <w:rPr>
        <w:color w:val="A6A6A6" w:themeColor="background1" w:themeShade="A6"/>
        <w:sz w:val="20"/>
        <w:szCs w:val="20"/>
      </w:rPr>
      <w:t xml:space="preserve">| </w:t>
    </w:r>
    <w:hyperlink r:id="rId3" w:tgtFrame="_blank" w:history="1">
      <w:proofErr w:type="spellStart"/>
      <w:r w:rsidR="00B74952" w:rsidRPr="00B74952">
        <w:rPr>
          <w:rStyle w:val="Hyperlink"/>
          <w:color w:val="A6A6A6" w:themeColor="background1" w:themeShade="A6"/>
          <w:sz w:val="20"/>
          <w:szCs w:val="20"/>
        </w:rPr>
        <w:t>Linkedin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DE60F" w14:textId="77777777" w:rsidR="00F65219" w:rsidRDefault="00F65219" w:rsidP="00D92A33">
      <w:pPr>
        <w:spacing w:after="0" w:line="240" w:lineRule="auto"/>
      </w:pPr>
      <w:r>
        <w:separator/>
      </w:r>
    </w:p>
  </w:footnote>
  <w:footnote w:type="continuationSeparator" w:id="0">
    <w:p w14:paraId="499A62EE" w14:textId="77777777" w:rsidR="00F65219" w:rsidRDefault="00F65219" w:rsidP="00D92A33">
      <w:pPr>
        <w:spacing w:after="0" w:line="240" w:lineRule="auto"/>
      </w:pPr>
      <w:r>
        <w:continuationSeparator/>
      </w:r>
    </w:p>
  </w:footnote>
  <w:footnote w:id="1">
    <w:p w14:paraId="61918BE3" w14:textId="275DD114" w:rsidR="00411AF7" w:rsidRPr="00411AF7" w:rsidRDefault="00411AF7">
      <w:pPr>
        <w:pStyle w:val="Textodenotaderodap"/>
        <w:rPr>
          <w:rFonts w:asciiTheme="minorHAnsi" w:hAnsiTheme="minorHAnsi" w:cstheme="minorHAnsi"/>
        </w:rPr>
      </w:pPr>
      <w:r w:rsidRPr="00411AF7">
        <w:rPr>
          <w:rStyle w:val="Refdenotaderodap"/>
          <w:rFonts w:asciiTheme="minorHAnsi" w:hAnsiTheme="minorHAnsi" w:cstheme="minorHAnsi"/>
        </w:rPr>
        <w:footnoteRef/>
      </w:r>
      <w:r w:rsidRPr="00411AF7">
        <w:rPr>
          <w:rFonts w:asciiTheme="minorHAnsi" w:hAnsiTheme="minorHAnsi" w:cstheme="minorHAnsi"/>
        </w:rPr>
        <w:t xml:space="preserve"> </w:t>
      </w:r>
      <w:hyperlink r:id="rId1" w:history="1">
        <w:r w:rsidRPr="00AA5678">
          <w:rPr>
            <w:rStyle w:val="Hyperlink"/>
            <w:rFonts w:asciiTheme="minorHAnsi" w:hAnsiTheme="minorHAnsi" w:cstheme="minorHAnsi"/>
          </w:rPr>
          <w:t>http://www.planalto.gov.br/ccivil_03/_ato2007-2010/2008/lei/l11705.htm</w:t>
        </w:r>
      </w:hyperlink>
      <w:r>
        <w:rPr>
          <w:rFonts w:asciiTheme="minorHAnsi" w:hAnsiTheme="minorHAnsi" w:cstheme="minorHAnsi"/>
        </w:rPr>
        <w:t xml:space="preserve"> </w:t>
      </w:r>
    </w:p>
  </w:footnote>
  <w:footnote w:id="2">
    <w:p w14:paraId="3631FCD8" w14:textId="77777777" w:rsidR="00411AF7" w:rsidRPr="00411AF7" w:rsidRDefault="00411AF7" w:rsidP="00411AF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411AF7">
        <w:rPr>
          <w:rStyle w:val="Refdenotaderodap"/>
          <w:rFonts w:asciiTheme="minorHAnsi" w:hAnsiTheme="minorHAnsi" w:cstheme="minorHAnsi"/>
          <w:sz w:val="20"/>
          <w:szCs w:val="20"/>
        </w:rPr>
        <w:footnoteRef/>
      </w:r>
      <w:r w:rsidRPr="00411AF7">
        <w:rPr>
          <w:rFonts w:asciiTheme="minorHAnsi" w:hAnsiTheme="minorHAnsi" w:cstheme="minorHAnsi"/>
          <w:sz w:val="20"/>
          <w:szCs w:val="20"/>
        </w:rPr>
        <w:t xml:space="preserve"> </w:t>
      </w:r>
      <w:r w:rsidRPr="00411AF7">
        <w:rPr>
          <w:rFonts w:asciiTheme="minorHAnsi" w:hAnsiTheme="minorHAnsi" w:cstheme="minorHAnsi"/>
          <w:i/>
          <w:iCs/>
          <w:color w:val="000000"/>
          <w:sz w:val="20"/>
          <w:szCs w:val="20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36BDBBFE" w14:textId="77777777" w:rsidR="00411AF7" w:rsidRPr="00411AF7" w:rsidRDefault="00411AF7" w:rsidP="00411AF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411AF7">
        <w:rPr>
          <w:rFonts w:asciiTheme="minorHAnsi" w:hAnsiTheme="minorHAnsi" w:cstheme="minorHAnsi"/>
          <w:i/>
          <w:iCs/>
          <w:color w:val="000000"/>
          <w:sz w:val="20"/>
          <w:szCs w:val="20"/>
        </w:rPr>
        <w:t>Parágrafo único. O auto de infração será arquivado e seu registro julgado insubsistente:</w:t>
      </w:r>
    </w:p>
    <w:p w14:paraId="01BD75F5" w14:textId="3C4602A3" w:rsidR="00411AF7" w:rsidRDefault="00411AF7" w:rsidP="00411AF7">
      <w:pPr>
        <w:pStyle w:val="NormalWeb"/>
        <w:spacing w:before="0" w:beforeAutospacing="0" w:after="0" w:afterAutospacing="0"/>
        <w:jc w:val="both"/>
      </w:pPr>
      <w:r w:rsidRPr="00411AF7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I - </w:t>
      </w:r>
      <w:proofErr w:type="gramStart"/>
      <w:r w:rsidRPr="00411AF7">
        <w:rPr>
          <w:rFonts w:asciiTheme="minorHAnsi" w:hAnsiTheme="minorHAnsi" w:cstheme="minorHAnsi"/>
          <w:i/>
          <w:iCs/>
          <w:color w:val="000000"/>
          <w:sz w:val="20"/>
          <w:szCs w:val="20"/>
        </w:rPr>
        <w:t>se</w:t>
      </w:r>
      <w:proofErr w:type="gramEnd"/>
      <w:r w:rsidRPr="00411AF7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 considerado inconsistente ou irregular;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7C56C" w14:textId="42DCE354" w:rsidR="00B74952" w:rsidRDefault="00B74952" w:rsidP="00B74952">
    <w:pPr>
      <w:pStyle w:val="Cabealho"/>
      <w:jc w:val="center"/>
    </w:pPr>
    <w:r>
      <w:rPr>
        <w:noProof/>
      </w:rPr>
      <w:drawing>
        <wp:inline distT="0" distB="0" distL="0" distR="0" wp14:anchorId="2F09F78A" wp14:editId="6C699D85">
          <wp:extent cx="858741" cy="858741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494" cy="877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368C"/>
    <w:multiLevelType w:val="hybridMultilevel"/>
    <w:tmpl w:val="9DD451BC"/>
    <w:lvl w:ilvl="0" w:tplc="FA726AB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C849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4E59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4225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EA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ECBC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5C5B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8E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46A2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2ED1"/>
    <w:multiLevelType w:val="hybridMultilevel"/>
    <w:tmpl w:val="7B5E311A"/>
    <w:lvl w:ilvl="0" w:tplc="FD5C80B6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6AE8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3EB7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BE55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E2B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167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F2C2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8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7C08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B3FE9"/>
    <w:multiLevelType w:val="multilevel"/>
    <w:tmpl w:val="3D7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63A74"/>
    <w:multiLevelType w:val="multilevel"/>
    <w:tmpl w:val="4E7E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C52B6"/>
    <w:multiLevelType w:val="hybridMultilevel"/>
    <w:tmpl w:val="B436FE0E"/>
    <w:lvl w:ilvl="0" w:tplc="2B9E97DE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C6506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D47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A5B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601B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3EE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0C7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041C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FE8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02522"/>
    <w:multiLevelType w:val="multilevel"/>
    <w:tmpl w:val="A230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76BE7"/>
    <w:multiLevelType w:val="hybridMultilevel"/>
    <w:tmpl w:val="7DBE6712"/>
    <w:lvl w:ilvl="0" w:tplc="ABD8228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ED9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3E19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ECA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AE1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ACE6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AA54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AB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CAB4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32F52"/>
    <w:multiLevelType w:val="multilevel"/>
    <w:tmpl w:val="0D64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01517"/>
    <w:multiLevelType w:val="hybridMultilevel"/>
    <w:tmpl w:val="8C5066EE"/>
    <w:lvl w:ilvl="0" w:tplc="41F26616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9380A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26E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940D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743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B881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106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46FF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AE68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01226"/>
    <w:multiLevelType w:val="hybridMultilevel"/>
    <w:tmpl w:val="E8FEFC68"/>
    <w:lvl w:ilvl="0" w:tplc="D73CB4F2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098D0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621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D49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2DA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727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0A7F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AE7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CA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D5029"/>
    <w:multiLevelType w:val="hybridMultilevel"/>
    <w:tmpl w:val="0186A970"/>
    <w:lvl w:ilvl="0" w:tplc="B54460E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F1C80B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94DC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BE6E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74F4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FEC3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DCD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0C83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6C6D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91C35"/>
    <w:multiLevelType w:val="hybridMultilevel"/>
    <w:tmpl w:val="96666BFE"/>
    <w:lvl w:ilvl="0" w:tplc="66FA0326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6488F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F0D5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4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4E8F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208F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88F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2C65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F8E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A40856"/>
    <w:multiLevelType w:val="hybridMultilevel"/>
    <w:tmpl w:val="F8463FFA"/>
    <w:lvl w:ilvl="0" w:tplc="C7BAD57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4F432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0A5B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10B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5075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A8A9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F8E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6626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706B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87F75"/>
    <w:multiLevelType w:val="hybridMultilevel"/>
    <w:tmpl w:val="96AA9996"/>
    <w:lvl w:ilvl="0" w:tplc="5F3E203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1923178555">
    <w:abstractNumId w:val="3"/>
    <w:lvlOverride w:ilvl="0">
      <w:lvl w:ilvl="0">
        <w:numFmt w:val="upperRoman"/>
        <w:lvlText w:val="%1."/>
        <w:lvlJc w:val="right"/>
      </w:lvl>
    </w:lvlOverride>
  </w:num>
  <w:num w:numId="2" w16cid:durableId="225651983">
    <w:abstractNumId w:val="0"/>
  </w:num>
  <w:num w:numId="3" w16cid:durableId="1471904218">
    <w:abstractNumId w:val="11"/>
  </w:num>
  <w:num w:numId="4" w16cid:durableId="900678929">
    <w:abstractNumId w:val="4"/>
  </w:num>
  <w:num w:numId="5" w16cid:durableId="1578397537">
    <w:abstractNumId w:val="5"/>
    <w:lvlOverride w:ilvl="0">
      <w:lvl w:ilvl="0">
        <w:numFmt w:val="upperRoman"/>
        <w:lvlText w:val="%1."/>
        <w:lvlJc w:val="right"/>
      </w:lvl>
    </w:lvlOverride>
  </w:num>
  <w:num w:numId="6" w16cid:durableId="646515079">
    <w:abstractNumId w:val="12"/>
  </w:num>
  <w:num w:numId="7" w16cid:durableId="1740518887">
    <w:abstractNumId w:val="9"/>
  </w:num>
  <w:num w:numId="8" w16cid:durableId="313342484">
    <w:abstractNumId w:val="1"/>
  </w:num>
  <w:num w:numId="9" w16cid:durableId="642779583">
    <w:abstractNumId w:val="2"/>
  </w:num>
  <w:num w:numId="10" w16cid:durableId="109277334">
    <w:abstractNumId w:val="13"/>
  </w:num>
  <w:num w:numId="11" w16cid:durableId="298195199">
    <w:abstractNumId w:val="7"/>
    <w:lvlOverride w:ilvl="0">
      <w:lvl w:ilvl="0">
        <w:numFmt w:val="upperRoman"/>
        <w:lvlText w:val="%1."/>
        <w:lvlJc w:val="right"/>
      </w:lvl>
    </w:lvlOverride>
  </w:num>
  <w:num w:numId="12" w16cid:durableId="707952215">
    <w:abstractNumId w:val="6"/>
  </w:num>
  <w:num w:numId="13" w16cid:durableId="1173228253">
    <w:abstractNumId w:val="10"/>
  </w:num>
  <w:num w:numId="14" w16cid:durableId="841895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F4"/>
    <w:rsid w:val="00024FB1"/>
    <w:rsid w:val="0002665E"/>
    <w:rsid w:val="00066A6D"/>
    <w:rsid w:val="000D584E"/>
    <w:rsid w:val="000E4E82"/>
    <w:rsid w:val="001119F0"/>
    <w:rsid w:val="00130B49"/>
    <w:rsid w:val="001C7228"/>
    <w:rsid w:val="001E6941"/>
    <w:rsid w:val="00201625"/>
    <w:rsid w:val="002274C8"/>
    <w:rsid w:val="002B4787"/>
    <w:rsid w:val="002F7EF7"/>
    <w:rsid w:val="0031731A"/>
    <w:rsid w:val="003A7040"/>
    <w:rsid w:val="003B7E47"/>
    <w:rsid w:val="00411AF7"/>
    <w:rsid w:val="004566C0"/>
    <w:rsid w:val="004575F5"/>
    <w:rsid w:val="00461A46"/>
    <w:rsid w:val="0049652E"/>
    <w:rsid w:val="005F0598"/>
    <w:rsid w:val="00673BF5"/>
    <w:rsid w:val="006C6BBF"/>
    <w:rsid w:val="00724D17"/>
    <w:rsid w:val="00733411"/>
    <w:rsid w:val="007A45C9"/>
    <w:rsid w:val="00813425"/>
    <w:rsid w:val="00907B2F"/>
    <w:rsid w:val="00915062"/>
    <w:rsid w:val="00947070"/>
    <w:rsid w:val="00951BC1"/>
    <w:rsid w:val="00972EF4"/>
    <w:rsid w:val="00983F35"/>
    <w:rsid w:val="00A03B81"/>
    <w:rsid w:val="00A15867"/>
    <w:rsid w:val="00A412B1"/>
    <w:rsid w:val="00A66B74"/>
    <w:rsid w:val="00B206ED"/>
    <w:rsid w:val="00B74952"/>
    <w:rsid w:val="00B93961"/>
    <w:rsid w:val="00BF0071"/>
    <w:rsid w:val="00C467D6"/>
    <w:rsid w:val="00C63CE1"/>
    <w:rsid w:val="00CE7963"/>
    <w:rsid w:val="00CF74AC"/>
    <w:rsid w:val="00D2498C"/>
    <w:rsid w:val="00D34E35"/>
    <w:rsid w:val="00D37C7F"/>
    <w:rsid w:val="00D45EC8"/>
    <w:rsid w:val="00D726FF"/>
    <w:rsid w:val="00D92A33"/>
    <w:rsid w:val="00DC331C"/>
    <w:rsid w:val="00DF3606"/>
    <w:rsid w:val="00E37948"/>
    <w:rsid w:val="00F65219"/>
    <w:rsid w:val="00F924EA"/>
    <w:rsid w:val="00F9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0FF35"/>
  <w15:chartTrackingRefBased/>
  <w15:docId w15:val="{2C4F665B-E5DA-4093-8B92-C829EB7D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73BF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92A33"/>
    <w:pPr>
      <w:ind w:left="720"/>
      <w:contextualSpacing/>
    </w:pPr>
    <w:rPr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92A33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92A33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D92A33"/>
    <w:rPr>
      <w:vertAlign w:val="superscript"/>
    </w:rPr>
  </w:style>
  <w:style w:type="paragraph" w:customStyle="1" w:styleId="dou-paragraph">
    <w:name w:val="dou-paragraph"/>
    <w:basedOn w:val="Normal"/>
    <w:rsid w:val="005F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2B1"/>
    <w:rPr>
      <w:b/>
      <w:bCs/>
    </w:rPr>
  </w:style>
  <w:style w:type="character" w:styleId="nfase">
    <w:name w:val="Emphasis"/>
    <w:basedOn w:val="Fontepargpadro"/>
    <w:uiPriority w:val="20"/>
    <w:qFormat/>
    <w:rsid w:val="00724D17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411AF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74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4952"/>
  </w:style>
  <w:style w:type="paragraph" w:styleId="Rodap">
    <w:name w:val="footer"/>
    <w:basedOn w:val="Normal"/>
    <w:link w:val="RodapChar"/>
    <w:uiPriority w:val="99"/>
    <w:unhideWhenUsed/>
    <w:rsid w:val="00B74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4952"/>
  </w:style>
  <w:style w:type="paragraph" w:styleId="Legenda">
    <w:name w:val="caption"/>
    <w:basedOn w:val="Normal"/>
    <w:next w:val="Normal"/>
    <w:uiPriority w:val="35"/>
    <w:unhideWhenUsed/>
    <w:qFormat/>
    <w:rsid w:val="00B7495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erica-avallone-lima/" TargetMode="External"/><Relationship Id="rId2" Type="http://schemas.openxmlformats.org/officeDocument/2006/relationships/hyperlink" Target="https://www.instagram.com/ericaavalloneadv/" TargetMode="External"/><Relationship Id="rId1" Type="http://schemas.openxmlformats.org/officeDocument/2006/relationships/hyperlink" Target="mailto:erica@avallonelima.com.br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analto.gov.br/ccivil_03/_ato2007-2010/2008/lei/l11705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8A41-7FB0-46B5-A7F2-93D1D6569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916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2</cp:revision>
  <cp:lastPrinted>2020-11-30T00:05:00Z</cp:lastPrinted>
  <dcterms:created xsi:type="dcterms:W3CDTF">2023-04-13T15:26:00Z</dcterms:created>
  <dcterms:modified xsi:type="dcterms:W3CDTF">2023-04-13T15:26:00Z</dcterms:modified>
</cp:coreProperties>
</file>