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4AF9" w:rsidRDefault="00A04AF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A04AF9" w:rsidRDefault="00A04AF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A04AF9" w:rsidRDefault="00A04AF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A04AF9" w:rsidRDefault="00000000">
      <w:pPr>
        <w:shd w:val="clear" w:color="auto" w:fill="FFFFFF"/>
        <w:spacing w:after="0" w:line="240" w:lineRule="auto"/>
        <w:jc w:val="center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ILUSTRÍSSIMO SENHOR DIRETOR DO DETRAN/SC</w:t>
      </w:r>
    </w:p>
    <w:p w:rsidR="00A04AF9" w:rsidRDefault="00000000">
      <w:pPr>
        <w:shd w:val="clear" w:color="auto" w:fill="FFFFFF"/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Processo Administrativo n. </w:t>
      </w:r>
      <w:r>
        <w:rPr>
          <w:b/>
          <w:sz w:val="24"/>
          <w:szCs w:val="24"/>
        </w:rPr>
        <w:t>169318/2023</w:t>
      </w: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sz w:val="24"/>
          <w:szCs w:val="24"/>
        </w:rPr>
        <w:t>Defesa Prévia</w:t>
      </w: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b/>
          <w:color w:val="1D1D1D"/>
          <w:sz w:val="24"/>
          <w:szCs w:val="24"/>
        </w:rPr>
        <w:t xml:space="preserve">MURILO </w:t>
      </w:r>
      <w:r w:rsidR="008D4013" w:rsidRPr="008D4013">
        <w:rPr>
          <w:rFonts w:eastAsia="Times New Roman" w:cstheme="minorHAnsi"/>
          <w:color w:val="000000"/>
          <w:sz w:val="24"/>
          <w:szCs w:val="24"/>
        </w:rPr>
        <w:t xml:space="preserve">(qualificação completa), proprietário e </w:t>
      </w:r>
      <w:r w:rsidR="008D4013" w:rsidRPr="008D4013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condutor do veículo de documento anexo, vem respeitosamente à presença de Vossa Senhoria</w:t>
      </w:r>
      <w:r w:rsidRPr="008D4013">
        <w:rPr>
          <w:sz w:val="24"/>
          <w:szCs w:val="24"/>
          <w:highlight w:val="white"/>
        </w:rPr>
        <w:t xml:space="preserve">, vem respeitosamente à presença de Vossa Senhoria, apresentar </w:t>
      </w:r>
      <w:r w:rsidRPr="008D4013">
        <w:rPr>
          <w:b/>
          <w:sz w:val="24"/>
          <w:szCs w:val="24"/>
          <w:highlight w:val="white"/>
        </w:rPr>
        <w:t xml:space="preserve">Defesa </w:t>
      </w:r>
      <w:r w:rsidRPr="008D4013">
        <w:rPr>
          <w:b/>
          <w:bCs/>
          <w:sz w:val="24"/>
          <w:szCs w:val="24"/>
          <w:highlight w:val="white"/>
        </w:rPr>
        <w:t>Prévia</w:t>
      </w:r>
      <w:r w:rsidRPr="008D4013">
        <w:rPr>
          <w:sz w:val="24"/>
          <w:szCs w:val="24"/>
          <w:highlight w:val="white"/>
        </w:rPr>
        <w:t xml:space="preserve">, </w:t>
      </w:r>
      <w:r w:rsidRPr="008D4013">
        <w:rPr>
          <w:sz w:val="24"/>
          <w:szCs w:val="24"/>
        </w:rPr>
        <w:t>nos termos dos arts.</w:t>
      </w:r>
      <w:r>
        <w:rPr>
          <w:sz w:val="24"/>
          <w:szCs w:val="24"/>
        </w:rPr>
        <w:t> 280 e seguintes do Código de Trânsito Brasileiro e Resolução 432 e 723 do CONTRAN, alterada pela Resolução 844/2021, em desfavor do P.A supramencionado, nos termos a seguir expostos.</w:t>
      </w:r>
    </w:p>
    <w:p w:rsidR="00A04AF9" w:rsidRDefault="00A04A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Importante frisar que também se aplica ao processo administrativo para imposição da penalidade de </w:t>
      </w:r>
      <w:r>
        <w:rPr>
          <w:sz w:val="24"/>
          <w:szCs w:val="24"/>
        </w:rPr>
        <w:t xml:space="preserve">suspensão </w:t>
      </w:r>
      <w:r>
        <w:rPr>
          <w:color w:val="000000"/>
          <w:sz w:val="24"/>
          <w:szCs w:val="24"/>
        </w:rPr>
        <w:t>do direito de dirigir os artigos 280 e seguintes do CTB que trata do Processo Administrativo, por isso, é imprescindível analisar também o auto de infração que acarretou na instauração deste PA.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Tanto que a Seção II que começa a partir do art. 281 do CTB fala do Julgamento das Autuações e Penalidades, ou seja, o AIT deve ser analisando também quando estamos diante de um processo administrativo para aplicação da penalidade de </w:t>
      </w:r>
      <w:r>
        <w:rPr>
          <w:sz w:val="24"/>
          <w:szCs w:val="24"/>
        </w:rPr>
        <w:t xml:space="preserve">suspensão </w:t>
      </w:r>
      <w:r>
        <w:rPr>
          <w:color w:val="000000"/>
          <w:sz w:val="24"/>
          <w:szCs w:val="24"/>
        </w:rPr>
        <w:t>do direito de dirigir.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Não podemos nos limitar à Resolução 723 do CONTRAN, uma vez que não tem como desvincular o processo de </w:t>
      </w:r>
      <w:r>
        <w:rPr>
          <w:sz w:val="24"/>
          <w:szCs w:val="24"/>
        </w:rPr>
        <w:t xml:space="preserve">suspensão </w:t>
      </w:r>
      <w:r>
        <w:rPr>
          <w:color w:val="000000"/>
          <w:sz w:val="24"/>
          <w:szCs w:val="24"/>
        </w:rPr>
        <w:t xml:space="preserve">do direito de dirigir do processo de multa, já que é através do processo de multa, ou seja, do AIT que decorre a instauração do processo de </w:t>
      </w:r>
      <w:r>
        <w:rPr>
          <w:sz w:val="24"/>
          <w:szCs w:val="24"/>
        </w:rPr>
        <w:t xml:space="preserve">suspensão </w:t>
      </w:r>
      <w:r>
        <w:rPr>
          <w:color w:val="000000"/>
          <w:sz w:val="24"/>
          <w:szCs w:val="24"/>
        </w:rPr>
        <w:t>do direito de dirigir.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Então, quer dizer que se tivermos um processo de multa viciado, também teremos um processo de </w:t>
      </w:r>
      <w:r>
        <w:rPr>
          <w:sz w:val="24"/>
          <w:szCs w:val="24"/>
        </w:rPr>
        <w:t xml:space="preserve">cassação </w:t>
      </w:r>
      <w:r>
        <w:rPr>
          <w:color w:val="000000"/>
          <w:sz w:val="24"/>
          <w:szCs w:val="24"/>
        </w:rPr>
        <w:t>passível de nulidade. E é o que acontece no presente feito.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A04AF9">
      <w:pPr>
        <w:shd w:val="clear" w:color="auto" w:fill="FFFFFF"/>
        <w:spacing w:after="0" w:line="240" w:lineRule="auto"/>
        <w:jc w:val="both"/>
        <w:rPr>
          <w:b/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DOS FATOS</w:t>
      </w: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Recorrente foi penalizado com a suspensão do direito de dirigir por supostamente infringir o artigo 261, II do CTB e cometer, supostamente, a infração prevista no art. 165-A do CTB.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Porém, não concorda com a penalidade a ele aplicada, uma vez injusta, como será demonstrado.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PRELIMINAR: DA INCOMPETÊNCIA DO DETRAN/SC DE INSTAURAR O PA DE SUSPENSÃO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que pese este PA ter sido instaurado pelo DETRAN/SC, é certo que a competência para a instauração, processamento e aplicação da penalidade de suspensão do direito de dirigir pela infração prevista no art. 165-A do CTB - AIT n° T200101056, lavrado pela </w:t>
      </w:r>
      <w:r>
        <w:rPr>
          <w:sz w:val="24"/>
          <w:szCs w:val="24"/>
        </w:rPr>
        <w:lastRenderedPageBreak/>
        <w:t>Polícia Rodoviária Federal, é da própria PRF, nos termos dos artigos 20, XII, bem como art. 338-A do CTB, vejamos: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Art. 20. Compete à Polícia Rodoviária Federal, no âmbito das rodovias e estradas federais:</w:t>
      </w: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[...]</w:t>
      </w: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XII - aplicar a penalidade de suspensão do direito de dirigir, quando prevista de forma específica para a infração cometida, e comunicar a aplicação da penalidade ao órgão máximo executivo de trânsito da União.</w:t>
      </w:r>
    </w:p>
    <w:p w:rsidR="00A04AF9" w:rsidRDefault="00A04AF9">
      <w:pPr>
        <w:shd w:val="clear" w:color="auto" w:fill="FFFFFF"/>
        <w:spacing w:after="0" w:line="240" w:lineRule="auto"/>
        <w:ind w:left="1133"/>
        <w:jc w:val="both"/>
        <w:rPr>
          <w:i/>
        </w:rPr>
      </w:pPr>
    </w:p>
    <w:p w:rsidR="00A04AF9" w:rsidRDefault="00000000">
      <w:pPr>
        <w:shd w:val="clear" w:color="auto" w:fill="FFFFFF"/>
        <w:spacing w:after="0" w:line="240" w:lineRule="auto"/>
        <w:ind w:left="1133"/>
        <w:jc w:val="center"/>
        <w:rPr>
          <w:i/>
        </w:rPr>
      </w:pPr>
      <w:r>
        <w:rPr>
          <w:i/>
        </w:rPr>
        <w:t>***</w:t>
      </w:r>
    </w:p>
    <w:p w:rsidR="00A04AF9" w:rsidRDefault="00A04AF9">
      <w:pPr>
        <w:shd w:val="clear" w:color="auto" w:fill="FFFFFF"/>
        <w:spacing w:after="0" w:line="240" w:lineRule="auto"/>
        <w:ind w:left="1133"/>
        <w:jc w:val="both"/>
        <w:rPr>
          <w:i/>
        </w:rPr>
      </w:pP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 xml:space="preserve">Art. 338-A. As competências previstas no inciso XV do caput do art. 21 e no inciso XXII do caput do art. 24 deste Código serão atribuídas aos órgãos ou entidades descritos no caput dos referidos artigos a partir de 1º de janeiro de 2024.  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Vale dizer, que o art. 338-A não suprimiu a competência da PRF, quando das infrações de sua responsabilidade, ou seja, a regra de competência não é do DETRAN/SC, mas sim da PRF, assim como a legislação prevê.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Destarte, uma vez atribuída competência a quem não a detém, nulo de pleno direito o ato praticado, pelo que deve este PA ser arquivado, como medida de justiça e em observância ao Princípio da Legalidade.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Ademais, de qualquer ângulo que se olhe, este PA padece de nulidade, uma vez que as notificações também não observaram os prazos previstos na legislação vigente, vejamos.</w:t>
      </w:r>
    </w:p>
    <w:p w:rsidR="00A04AF9" w:rsidRDefault="00A04A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ind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  <w:u w:val="single"/>
        </w:rPr>
        <w:t>Da notificação expedida fora do prazo legal</w:t>
      </w:r>
    </w:p>
    <w:p w:rsidR="00A04AF9" w:rsidRDefault="00A04AF9">
      <w:pPr>
        <w:shd w:val="clear" w:color="auto" w:fill="FFFFFF"/>
        <w:spacing w:after="0" w:line="240" w:lineRule="auto"/>
        <w:ind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  <w:sz w:val="24"/>
          <w:szCs w:val="24"/>
        </w:rPr>
        <w:t xml:space="preserve">Em que pese ter sido este PA instaurado em </w:t>
      </w:r>
      <w:r>
        <w:rPr>
          <w:sz w:val="24"/>
          <w:szCs w:val="24"/>
        </w:rPr>
        <w:t>2023</w:t>
      </w:r>
      <w:r>
        <w:rPr>
          <w:color w:val="000000"/>
          <w:sz w:val="24"/>
          <w:szCs w:val="24"/>
        </w:rPr>
        <w:t xml:space="preserve">, é certo que há </w:t>
      </w:r>
      <w:r>
        <w:rPr>
          <w:b/>
          <w:color w:val="000000"/>
          <w:sz w:val="24"/>
          <w:szCs w:val="24"/>
          <w:u w:val="single"/>
        </w:rPr>
        <w:t>PRECLUSÃO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do direito de punir do DETRAN/</w:t>
      </w:r>
      <w:r>
        <w:rPr>
          <w:sz w:val="24"/>
          <w:szCs w:val="24"/>
        </w:rPr>
        <w:t>SC</w:t>
      </w:r>
      <w:r>
        <w:rPr>
          <w:color w:val="000000"/>
          <w:sz w:val="24"/>
          <w:szCs w:val="24"/>
        </w:rPr>
        <w:t>, ante o decurso do prazo para expedir a notificação prevista no §6º do art. 282 do CTB. ﻿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Isso porque, a infração que acarretou na instauração deste PA, segundo previsão do art. 261, II do CTB ocorreu em</w:t>
      </w:r>
      <w:r>
        <w:rPr>
          <w:sz w:val="24"/>
          <w:szCs w:val="24"/>
        </w:rPr>
        <w:t xml:space="preserve"> 14/01/2023 e, levando em consideração a regra prevista no §10º do art. 261 do CTB, o PA de suspensão deve ser instaurado de forma concomitante com a penalidade de multa, vejamos: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Art. 261</w:t>
      </w: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>[...]</w:t>
      </w: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</w:rPr>
      </w:pPr>
      <w:r>
        <w:rPr>
          <w:i/>
        </w:rPr>
        <w:t xml:space="preserve">§ 10.  O processo de suspensão do direito de dirigir a que se refere o inciso II do caput deste artigo </w:t>
      </w:r>
      <w:r>
        <w:rPr>
          <w:b/>
          <w:i/>
          <w:u w:val="single"/>
        </w:rPr>
        <w:t>deverá ser instaurado concomitantemente ao processo de aplicação da penalidade de multa</w:t>
      </w:r>
      <w:r>
        <w:rPr>
          <w:i/>
        </w:rPr>
        <w:t>, e ambos serão de competência do órgão ou entidade responsável pela aplicação da multa, na forma definida pelo Contran.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Porém, é certo que, como se trata de infração de responsabilidade da PRF, devemos levar em consideração a data do encerramento da fase administrativa da penalidade de multa que ocorreu em 25/01/2021.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Diante disso, é certo que a Lei em vigor tem vigência IMEDIATA, ou seja, a nova redação do §6º do art. 282 do CTB deve ser aplicada imediatamente, adequando-se, então, os fatos jurídicos que ainda estão ocorrendo à nova previsão legal.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 situação está prevista na Lei de Introdução às Normas do Direito Brasileiro (LINDB), que diz em seu artigo 6º que </w:t>
      </w:r>
      <w:r>
        <w:rPr>
          <w:i/>
          <w:sz w:val="24"/>
          <w:szCs w:val="24"/>
        </w:rPr>
        <w:t>“a Lei em vigor terá efeito imediato e geral, respeitados o ato jurídico perfeito, o direito adquirido e a coisa julgada.”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caso, não há ato jurídico perfeito, nem direito adquirido e nem coisa julgada, uma vez que não houve aplicação da penalidade.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Assim, a data da notificação de instauração deste PA deve seguir a regra prevista no art. 282, §6º, já que o texto legal abaixo transcrito fala do prazo das notificações das penalidades previstas no art. 256 do CTB, vejamos: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§ 6º O prazo para expedição das notificações das penalidades previstas no art. 256 deste Código é de 180 (cento e oitenta) dias ou, se houver interposição de defesa prévia, de 360 (trezentos e sessenta) dias, contado:</w:t>
      </w: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[...]</w:t>
      </w: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II - no caso das demais penalidades previstas no art. 256 deste Código, da conclusão do processo administrativo da penalidade que lhe der causa.</w:t>
      </w:r>
    </w:p>
    <w:p w:rsidR="00A04AF9" w:rsidRDefault="00A04AF9">
      <w:pPr>
        <w:shd w:val="clear" w:color="auto" w:fill="FFFFFF"/>
        <w:spacing w:after="0" w:line="240" w:lineRule="auto"/>
        <w:ind w:left="1133"/>
        <w:jc w:val="both"/>
        <w:rPr>
          <w:i/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Sabendo que a infração teve a instância administrativa encerrada, na forma do art. 290 do CTB em 25/01/2021, tem-se que o prazo previsto no artigo supra foi extrapolado.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 como a suspensão do direito de dirigir é uma das penalidades ali previstas, deve o texto legal valer para ela também.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Ora, aqui é usar por analogia a previsão do art. 281, §1º, II do CTB, que trata da notificação da autuação que deve ser expedida no prazo de 30 dias - prazo decadencial que gera a preclusão do direito de punir, vejamos: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Art. 281. A autoridade de trânsito, na esfera da competência estabelecida neste Código e dentro de sua circunscrição, julgará a consistência do auto de infração e aplicará a penalidade cabível.</w:t>
      </w:r>
    </w:p>
    <w:p w:rsidR="00A04AF9" w:rsidRDefault="00000000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§ 1º O auto de infração será arquivado e seu registro julgado insubsistente:</w:t>
      </w:r>
    </w:p>
    <w:p w:rsidR="00A04AF9" w:rsidRDefault="00000000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[...]</w:t>
      </w:r>
    </w:p>
    <w:p w:rsidR="00A04AF9" w:rsidRDefault="00000000">
      <w:pPr>
        <w:shd w:val="clear" w:color="auto" w:fill="FFFFFF"/>
        <w:spacing w:after="0" w:line="276" w:lineRule="auto"/>
        <w:ind w:left="1133"/>
        <w:jc w:val="both"/>
        <w:rPr>
          <w:sz w:val="24"/>
          <w:szCs w:val="24"/>
        </w:rPr>
      </w:pPr>
      <w:r>
        <w:rPr>
          <w:b/>
          <w:i/>
          <w:sz w:val="24"/>
          <w:szCs w:val="24"/>
        </w:rPr>
        <w:t>II - se, no prazo máximo de trinta dias, não for expedida a notificação da autuação;</w:t>
      </w:r>
    </w:p>
    <w:p w:rsidR="00A04AF9" w:rsidRDefault="00A04AF9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caso aqui em discussão, este PA está precluso, uma vez que os prazos previstos no art. 282, §6º do CTB, de qualquer ângulo que se olhe, já foram extrapolados.</w:t>
      </w:r>
    </w:p>
    <w:p w:rsidR="00A04AF9" w:rsidRDefault="00A04AF9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Isso porque, entre o encerramento da instância administrativa da infração, que ocorreu em</w:t>
      </w:r>
      <w:r>
        <w:rPr>
          <w:b/>
          <w:sz w:val="24"/>
          <w:szCs w:val="24"/>
        </w:rPr>
        <w:t xml:space="preserve"> 25/01/2021,</w:t>
      </w:r>
      <w:r>
        <w:rPr>
          <w:sz w:val="24"/>
          <w:szCs w:val="24"/>
        </w:rPr>
        <w:t xml:space="preserve"> e a data da instauração deste PA em </w:t>
      </w:r>
      <w:r>
        <w:rPr>
          <w:b/>
          <w:sz w:val="24"/>
          <w:szCs w:val="24"/>
          <w:u w:val="single"/>
        </w:rPr>
        <w:t>14/02/2023</w:t>
      </w:r>
      <w:r>
        <w:rPr>
          <w:sz w:val="24"/>
          <w:szCs w:val="24"/>
        </w:rPr>
        <w:t xml:space="preserve">, passaram-se </w:t>
      </w:r>
      <w:r>
        <w:rPr>
          <w:b/>
          <w:sz w:val="24"/>
          <w:szCs w:val="24"/>
          <w:u w:val="single"/>
        </w:rPr>
        <w:t>750 dias</w:t>
      </w:r>
      <w:r>
        <w:rPr>
          <w:sz w:val="24"/>
          <w:szCs w:val="24"/>
        </w:rPr>
        <w:t>, ou seja, prazo muito superior ao estabelecido no art. 281, do CTB, vejamos:</w:t>
      </w:r>
    </w:p>
    <w:p w:rsidR="00A04AF9" w:rsidRDefault="00A04AF9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76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359269" cy="1269601"/>
            <wp:effectExtent l="0" t="0" r="0" b="0"/>
            <wp:docPr id="208416773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269" cy="1269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4AF9" w:rsidRDefault="00000000">
      <w:pPr>
        <w:shd w:val="clear" w:color="auto" w:fill="FFFFFF"/>
        <w:spacing w:before="240"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Diante do exposto, deve ser aplicada a regra de preclusão ali estabelecida.</w:t>
      </w:r>
    </w:p>
    <w:p w:rsidR="00A04AF9" w:rsidRDefault="00000000">
      <w:pPr>
        <w:shd w:val="clear" w:color="auto" w:fill="FFFFFF"/>
        <w:spacing w:before="240"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Logo, o arquivamento deste processo administrativo, nos termos do § 1º, II, do art. 281 do CTB é a medida que se impõe, o que desde logo se requer.</w:t>
      </w:r>
    </w:p>
    <w:p w:rsidR="00A04AF9" w:rsidRDefault="00A04AF9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Ainda, necessário se faz mencionar os artigos 28 e 30 da Lei de Introdução às Normas do Direito Brasileiro (LINDB), vejamos:</w:t>
      </w:r>
    </w:p>
    <w:p w:rsidR="00A04AF9" w:rsidRDefault="00A04AF9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4AF9" w:rsidRDefault="00000000">
      <w:pPr>
        <w:shd w:val="clear" w:color="auto" w:fill="FFFFFF"/>
        <w:spacing w:after="0" w:line="276" w:lineRule="auto"/>
        <w:ind w:left="1133"/>
        <w:jc w:val="both"/>
        <w:rPr>
          <w:b/>
          <w:i/>
          <w:sz w:val="24"/>
          <w:szCs w:val="24"/>
          <w:u w:val="single"/>
        </w:rPr>
      </w:pPr>
      <w:r>
        <w:rPr>
          <w:i/>
          <w:sz w:val="24"/>
          <w:szCs w:val="24"/>
        </w:rPr>
        <w:t xml:space="preserve">Art. 28.  O agente público responderá pessoalmente por suas decisões ou opiniões técnicas em caso de dolo ou </w:t>
      </w:r>
      <w:r>
        <w:rPr>
          <w:b/>
          <w:i/>
          <w:sz w:val="24"/>
          <w:szCs w:val="24"/>
          <w:u w:val="single"/>
        </w:rPr>
        <w:t>erro grosseiro.</w:t>
      </w:r>
    </w:p>
    <w:p w:rsidR="00A04AF9" w:rsidRDefault="00000000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[…]</w:t>
      </w:r>
    </w:p>
    <w:p w:rsidR="00A04AF9" w:rsidRDefault="00000000">
      <w:pPr>
        <w:shd w:val="clear" w:color="auto" w:fill="FFFFFF"/>
        <w:spacing w:after="0" w:line="276" w:lineRule="auto"/>
        <w:ind w:left="1133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Art. 30.  As autoridades públicas </w:t>
      </w:r>
      <w:r>
        <w:rPr>
          <w:b/>
          <w:i/>
          <w:sz w:val="24"/>
          <w:szCs w:val="24"/>
          <w:u w:val="single"/>
        </w:rPr>
        <w:t>devem atuar para aumentar a segurança jurídica na aplicação das normas</w:t>
      </w:r>
      <w:r>
        <w:rPr>
          <w:i/>
          <w:sz w:val="24"/>
          <w:szCs w:val="24"/>
        </w:rPr>
        <w:t xml:space="preserve">, inclusive por meio de regulamentos, súmulas administrativas e respostas a consultas.    </w:t>
      </w:r>
    </w:p>
    <w:p w:rsidR="00A04AF9" w:rsidRDefault="00000000">
      <w:pPr>
        <w:shd w:val="clear" w:color="auto" w:fill="FFFFFF"/>
        <w:spacing w:before="240"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narrado, o AIT aqui em discussão ofende à segurança jurídica, conforme demonstrado, pelo que se requer, sob pena de responsabilidade, a nulidade do PA aqui em discussão.</w:t>
      </w:r>
    </w:p>
    <w:p w:rsidR="00A04AF9" w:rsidRDefault="00A04AF9">
      <w:pPr>
        <w:shd w:val="clear" w:color="auto" w:fill="FFFFFF"/>
        <w:spacing w:after="0" w:line="276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>Do efeito suspensivo</w:t>
      </w:r>
    </w:p>
    <w:p w:rsidR="00A04AF9" w:rsidRDefault="00A04AF9">
      <w:pPr>
        <w:spacing w:after="0" w:line="240" w:lineRule="auto"/>
        <w:rPr>
          <w:sz w:val="24"/>
          <w:szCs w:val="24"/>
        </w:rPr>
      </w:pPr>
    </w:p>
    <w:p w:rsidR="00A04AF9" w:rsidRDefault="00000000">
      <w:pPr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Caso o recurso não seja julgado no prazo estabelecido pelo art. 25 da Resolução 723 do CONTRAN, requer seja concedido o </w:t>
      </w:r>
      <w:r>
        <w:rPr>
          <w:b/>
          <w:color w:val="000000"/>
          <w:sz w:val="24"/>
          <w:szCs w:val="24"/>
        </w:rPr>
        <w:t>efeito suspensivo</w:t>
      </w:r>
      <w:r>
        <w:rPr>
          <w:color w:val="000000"/>
          <w:sz w:val="24"/>
          <w:szCs w:val="24"/>
        </w:rPr>
        <w:t xml:space="preserve"> à penalidade em questão, vejamos:</w:t>
      </w:r>
    </w:p>
    <w:p w:rsidR="00A04AF9" w:rsidRDefault="00A04AF9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:rsidR="00A04AF9" w:rsidRDefault="00000000">
      <w:pPr>
        <w:shd w:val="clear" w:color="auto" w:fill="FFFFFF"/>
        <w:spacing w:after="0" w:line="240" w:lineRule="auto"/>
        <w:ind w:left="1134"/>
        <w:jc w:val="both"/>
        <w:rPr>
          <w:sz w:val="24"/>
          <w:szCs w:val="24"/>
        </w:rPr>
      </w:pPr>
      <w:r>
        <w:rPr>
          <w:i/>
          <w:color w:val="000000"/>
          <w:sz w:val="24"/>
          <w:szCs w:val="24"/>
        </w:rPr>
        <w:t>Art. 25. No curso do processo administrativo de que trata esta Resolução não incidirá nenhuma restrição no prontuário do infrator, inclusive para fins de mudança de categoria do documento de habilitação, renovação e transferência para outra unidade da Federação, até a efetiva aplicação da penalidade de suspensão ou cassação do documento de habilitação.</w:t>
      </w:r>
    </w:p>
    <w:p w:rsidR="00A04AF9" w:rsidRDefault="00000000">
      <w:pPr>
        <w:shd w:val="clear" w:color="auto" w:fill="FFFFFF"/>
        <w:spacing w:after="0" w:line="240" w:lineRule="auto"/>
        <w:ind w:left="1134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DO PEDIDO</w:t>
      </w: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:rsidR="00A04AF9" w:rsidRDefault="00000000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Assim, diante do exposto acima, e dos fundamentos legais apresentados para provar as suas razões, o recorrente REQUER a esta autoridade de trânsito, o seguinte:</w:t>
      </w:r>
    </w:p>
    <w:p w:rsidR="00A04AF9" w:rsidRDefault="00000000">
      <w:pPr>
        <w:shd w:val="clear" w:color="auto" w:fill="FFFFFF"/>
        <w:spacing w:after="0" w:line="240" w:lineRule="auto"/>
        <w:ind w:left="-567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:rsidR="00A04AF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JULGAMENTO: </w:t>
      </w:r>
      <w:r>
        <w:rPr>
          <w:color w:val="000000"/>
          <w:sz w:val="24"/>
          <w:szCs w:val="24"/>
        </w:rPr>
        <w:t xml:space="preserve">requer seja o presente recurso </w:t>
      </w:r>
      <w:r>
        <w:rPr>
          <w:b/>
          <w:color w:val="000000"/>
          <w:sz w:val="24"/>
          <w:szCs w:val="24"/>
        </w:rPr>
        <w:t>RECEBIDO</w:t>
      </w:r>
      <w:r>
        <w:rPr>
          <w:color w:val="000000"/>
          <w:sz w:val="24"/>
          <w:szCs w:val="24"/>
        </w:rPr>
        <w:t xml:space="preserve"> e </w:t>
      </w:r>
      <w:r>
        <w:rPr>
          <w:b/>
          <w:color w:val="000000"/>
          <w:sz w:val="24"/>
          <w:szCs w:val="24"/>
        </w:rPr>
        <w:t>DEFERIDO</w:t>
      </w:r>
      <w:r>
        <w:rPr>
          <w:color w:val="000000"/>
          <w:sz w:val="24"/>
          <w:szCs w:val="24"/>
        </w:rPr>
        <w:t>, nos termos da legislação aqui exposta;</w:t>
      </w:r>
    </w:p>
    <w:p w:rsidR="00A04AF9" w:rsidRDefault="00A04AF9">
      <w:pPr>
        <w:shd w:val="clear" w:color="auto" w:fill="FFFFFF"/>
        <w:spacing w:after="0" w:line="240" w:lineRule="auto"/>
        <w:ind w:left="1134"/>
        <w:jc w:val="both"/>
        <w:rPr>
          <w:sz w:val="24"/>
          <w:szCs w:val="24"/>
        </w:rPr>
      </w:pPr>
    </w:p>
    <w:p w:rsidR="00A04AF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 CIÊNCIA DA DECISÃO: </w:t>
      </w:r>
      <w:r>
        <w:rPr>
          <w:color w:val="000000"/>
          <w:sz w:val="24"/>
          <w:szCs w:val="24"/>
        </w:rPr>
        <w:t xml:space="preserve">O Recorrente requer que seja informado sobre a decisão proferida sobre o processo administrativo, no prazo </w:t>
      </w:r>
      <w:r>
        <w:rPr>
          <w:color w:val="000000"/>
          <w:sz w:val="24"/>
          <w:szCs w:val="24"/>
        </w:rPr>
        <w:lastRenderedPageBreak/>
        <w:t>de 10 (dez) dias úteis, devidamente fundamentada pelo chefe da seção, contendo todos os pareceres dos componentes;</w:t>
      </w:r>
    </w:p>
    <w:p w:rsidR="00A04AF9" w:rsidRDefault="00A04AF9">
      <w:pPr>
        <w:shd w:val="clear" w:color="auto" w:fill="FFFFFF"/>
        <w:spacing w:after="0" w:line="240" w:lineRule="auto"/>
        <w:ind w:left="1134" w:firstLine="60"/>
        <w:jc w:val="both"/>
        <w:rPr>
          <w:sz w:val="24"/>
          <w:szCs w:val="24"/>
        </w:rPr>
      </w:pPr>
    </w:p>
    <w:p w:rsidR="00A04AF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ENVIO DE CÓPIAS: </w:t>
      </w:r>
      <w:r>
        <w:rPr>
          <w:color w:val="000000"/>
          <w:sz w:val="24"/>
          <w:szCs w:val="24"/>
        </w:rPr>
        <w:t>O Recorrente requer seja enviado a cópia do processo administrativo de julgamento dessa peça recursal, no caso de indeferimento dos pedidos;</w:t>
      </w:r>
    </w:p>
    <w:p w:rsidR="00A04AF9" w:rsidRDefault="00A04AF9">
      <w:pPr>
        <w:shd w:val="clear" w:color="auto" w:fill="FFFFFF"/>
        <w:spacing w:after="0" w:line="240" w:lineRule="auto"/>
        <w:ind w:left="1134"/>
        <w:jc w:val="both"/>
        <w:rPr>
          <w:sz w:val="24"/>
          <w:szCs w:val="24"/>
        </w:rPr>
      </w:pPr>
    </w:p>
    <w:p w:rsidR="00A04AF9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DO CANCELAMENTO DO AIT: </w:t>
      </w:r>
      <w:r>
        <w:rPr>
          <w:color w:val="000000"/>
          <w:sz w:val="24"/>
          <w:szCs w:val="24"/>
        </w:rPr>
        <w:t>cancelamento e arquivamento da presente penalidade, como medida de Justiça!</w:t>
      </w:r>
    </w:p>
    <w:p w:rsidR="00A04AF9" w:rsidRDefault="00A04AF9">
      <w:pPr>
        <w:spacing w:after="0" w:line="240" w:lineRule="auto"/>
        <w:rPr>
          <w:sz w:val="24"/>
          <w:szCs w:val="24"/>
        </w:rPr>
      </w:pP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Junta documentos probatórios e os demais exigidos,</w:t>
      </w: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P. deferimento.</w:t>
      </w: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:rsidR="00A04AF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24 de abril de 2023</w:t>
      </w:r>
    </w:p>
    <w:p w:rsidR="00A04AF9" w:rsidRDefault="00A04A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sz w:val="20"/>
          <w:szCs w:val="20"/>
        </w:rPr>
      </w:pPr>
    </w:p>
    <w:p w:rsidR="00A04AF9" w:rsidRDefault="00A04A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</w:pPr>
      <w:bookmarkStart w:id="0" w:name="_heading=h.fyfb25iwljps" w:colFirst="0" w:colLast="0"/>
      <w:bookmarkEnd w:id="0"/>
    </w:p>
    <w:p w:rsidR="00A04AF9" w:rsidRDefault="00A04A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</w:pPr>
      <w:bookmarkStart w:id="1" w:name="_heading=h.3znysh7" w:colFirst="0" w:colLast="0"/>
      <w:bookmarkEnd w:id="1"/>
    </w:p>
    <w:p w:rsidR="00A04AF9" w:rsidRDefault="00A04A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sz w:val="20"/>
          <w:szCs w:val="20"/>
        </w:rPr>
      </w:pPr>
    </w:p>
    <w:p w:rsidR="00A04AF9" w:rsidRDefault="00000000">
      <w:pPr>
        <w:shd w:val="clear" w:color="auto" w:fill="FFFFFF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color w:val="1D1D1D"/>
          <w:sz w:val="24"/>
          <w:szCs w:val="24"/>
        </w:rPr>
        <w:t>MURILO</w:t>
      </w:r>
    </w:p>
    <w:p w:rsidR="00A04AF9" w:rsidRDefault="00A04AF9">
      <w:pPr>
        <w:jc w:val="center"/>
      </w:pPr>
    </w:p>
    <w:p w:rsidR="00A04AF9" w:rsidRDefault="00A04AF9">
      <w:pPr>
        <w:jc w:val="center"/>
        <w:rPr>
          <w:sz w:val="24"/>
          <w:szCs w:val="24"/>
        </w:rPr>
      </w:pPr>
      <w:bookmarkStart w:id="2" w:name="_heading=h.2et92p0" w:colFirst="0" w:colLast="0"/>
      <w:bookmarkEnd w:id="2"/>
    </w:p>
    <w:p w:rsidR="00A04AF9" w:rsidRDefault="00A04AF9">
      <w:pPr>
        <w:rPr>
          <w:b/>
          <w:sz w:val="24"/>
          <w:szCs w:val="24"/>
        </w:rPr>
      </w:pPr>
      <w:bookmarkStart w:id="3" w:name="_heading=h.1fob9te" w:colFirst="0" w:colLast="0"/>
      <w:bookmarkEnd w:id="3"/>
    </w:p>
    <w:sectPr w:rsidR="00A04AF9">
      <w:pgSz w:w="11906" w:h="16838"/>
      <w:pgMar w:top="851" w:right="1701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540AD"/>
    <w:multiLevelType w:val="multilevel"/>
    <w:tmpl w:val="D6646498"/>
    <w:lvl w:ilvl="0">
      <w:start w:val="1"/>
      <w:numFmt w:val="upperRoman"/>
      <w:lvlText w:val="%1."/>
      <w:lvlJc w:val="righ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 w16cid:durableId="187684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AF9"/>
    <w:rsid w:val="008D4013"/>
    <w:rsid w:val="00A0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715EF"/>
  <w15:docId w15:val="{CCAE32B2-A73B-41E5-9801-3D7161CF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5A4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B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97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73BF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92A33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unhideWhenUsed/>
    <w:rsid w:val="00D92A33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92A33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D92A33"/>
    <w:rPr>
      <w:vertAlign w:val="superscript"/>
    </w:rPr>
  </w:style>
  <w:style w:type="paragraph" w:customStyle="1" w:styleId="dou-paragraph">
    <w:name w:val="dou-paragraph"/>
    <w:basedOn w:val="Normal"/>
    <w:rsid w:val="005F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qFormat/>
    <w:rsid w:val="00A412B1"/>
    <w:rPr>
      <w:b/>
      <w:bCs/>
    </w:rPr>
  </w:style>
  <w:style w:type="character" w:styleId="nfase">
    <w:name w:val="Emphasis"/>
    <w:basedOn w:val="Fontepargpadro"/>
    <w:uiPriority w:val="20"/>
    <w:qFormat/>
    <w:rsid w:val="00724D17"/>
    <w:rPr>
      <w:i/>
      <w:i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11AF7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F25A4E"/>
    <w:rPr>
      <w:rFonts w:ascii="Calibri" w:eastAsia="Calibri" w:hAnsi="Calibri" w:cs="Calibri"/>
      <w:b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B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pple-converted-space">
    <w:name w:val="apple-converted-space"/>
    <w:rsid w:val="009A0AB1"/>
  </w:style>
  <w:style w:type="character" w:customStyle="1" w:styleId="style39">
    <w:name w:val="style39"/>
    <w:basedOn w:val="Fontepargpadro"/>
    <w:rsid w:val="009A0AB1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kwvKYFJ3E3glfh0l8036/taM5hA==">AMUW2mVRN5+abCd++5wFEGDtlhAVHzPUqZ4OKlgYy3ueVQK5MasA32Tgc/qjkOnBOu8QeWXI4JGa9VA/PDZVn3pCZy55F+64M8jX/0ya3yPosjfpwosaHBOzJkx0hN2aMbDlY7fToN7I3IRTLu4erD3wB99VJ3s6QOgW+NKy9NA/FXXJ/0oYE7I=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1450</Words>
  <Characters>7830</Characters>
  <Application>Microsoft Office Word</Application>
  <DocSecurity>0</DocSecurity>
  <Lines>65</Lines>
  <Paragraphs>18</Paragraphs>
  <ScaleCrop>false</ScaleCrop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NOVO</dc:creator>
  <cp:lastModifiedBy>Erica Avallone</cp:lastModifiedBy>
  <cp:revision>2</cp:revision>
  <dcterms:created xsi:type="dcterms:W3CDTF">2022-10-24T17:02:00Z</dcterms:created>
  <dcterms:modified xsi:type="dcterms:W3CDTF">2023-04-25T00:57:00Z</dcterms:modified>
</cp:coreProperties>
</file>