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FF434" w14:textId="7ECF9450" w:rsidR="0051485C" w:rsidRPr="000D5724" w:rsidRDefault="0051485C" w:rsidP="0051485C">
      <w:pPr>
        <w:widowControl/>
        <w:autoSpaceDE/>
        <w:autoSpaceDN/>
        <w:jc w:val="both"/>
        <w:rPr>
          <w:sz w:val="20"/>
          <w:szCs w:val="20"/>
          <w:lang w:eastAsia="pt-BR"/>
        </w:rPr>
      </w:pPr>
      <w:r>
        <w:rPr>
          <w:rFonts w:ascii="Calibri" w:hAnsi="Calibri" w:cs="Calibri"/>
          <w:b/>
          <w:bCs/>
          <w:i/>
          <w:iCs/>
          <w:color w:val="000000"/>
          <w:sz w:val="20"/>
          <w:szCs w:val="20"/>
          <w:lang w:eastAsia="pt-BR"/>
        </w:rPr>
        <w:t xml:space="preserve">PRELIMINAR: </w:t>
      </w:r>
      <w:r w:rsidRPr="000D5724">
        <w:rPr>
          <w:rFonts w:ascii="Calibri" w:hAnsi="Calibri" w:cs="Calibri"/>
          <w:b/>
          <w:bCs/>
          <w:i/>
          <w:iCs/>
          <w:color w:val="000000"/>
          <w:sz w:val="20"/>
          <w:szCs w:val="20"/>
          <w:lang w:eastAsia="pt-BR"/>
        </w:rPr>
        <w:t xml:space="preserve">Da Tempestividade – defesa/recurso </w:t>
      </w:r>
      <w:r w:rsidRPr="00A946CE">
        <w:rPr>
          <w:rFonts w:ascii="Calibri" w:hAnsi="Calibri" w:cs="Calibri"/>
          <w:b/>
          <w:bCs/>
          <w:i/>
          <w:iCs/>
          <w:color w:val="000000"/>
          <w:sz w:val="20"/>
          <w:szCs w:val="20"/>
          <w:highlight w:val="yellow"/>
          <w:lang w:eastAsia="pt-BR"/>
        </w:rPr>
        <w:t>enviado via postal</w:t>
      </w:r>
      <w:r w:rsidR="00424F11">
        <w:rPr>
          <w:rFonts w:ascii="Calibri" w:hAnsi="Calibri" w:cs="Calibri"/>
          <w:b/>
          <w:bCs/>
          <w:i/>
          <w:iCs/>
          <w:color w:val="000000"/>
          <w:sz w:val="20"/>
          <w:szCs w:val="20"/>
          <w:lang w:eastAsia="pt-BR"/>
        </w:rPr>
        <w:t xml:space="preserve"> </w:t>
      </w:r>
      <w:r w:rsidR="00136BF1">
        <w:rPr>
          <w:rFonts w:ascii="Calibri" w:hAnsi="Calibri" w:cs="Calibri"/>
          <w:b/>
          <w:bCs/>
          <w:i/>
          <w:iCs/>
          <w:color w:val="000000"/>
          <w:sz w:val="20"/>
          <w:szCs w:val="20"/>
          <w:lang w:eastAsia="pt-BR"/>
        </w:rPr>
        <w:t>ou houve o encerramento do expediente antes do horário normal.</w:t>
      </w:r>
    </w:p>
    <w:p w14:paraId="1B2829B6" w14:textId="77777777" w:rsidR="0051485C" w:rsidRPr="000D5724" w:rsidRDefault="0051485C" w:rsidP="0051485C">
      <w:pPr>
        <w:widowControl/>
        <w:autoSpaceDE/>
        <w:autoSpaceDN/>
        <w:rPr>
          <w:sz w:val="20"/>
          <w:szCs w:val="20"/>
          <w:lang w:eastAsia="pt-BR"/>
        </w:rPr>
      </w:pPr>
    </w:p>
    <w:p w14:paraId="6ED4F525" w14:textId="77777777" w:rsidR="0051485C" w:rsidRPr="000D5724" w:rsidRDefault="0051485C" w:rsidP="0051485C">
      <w:pPr>
        <w:widowControl/>
        <w:autoSpaceDE/>
        <w:autoSpaceDN/>
        <w:rPr>
          <w:sz w:val="20"/>
          <w:szCs w:val="20"/>
          <w:lang w:eastAsia="pt-BR"/>
        </w:rPr>
      </w:pPr>
      <w:r w:rsidRPr="000D5724">
        <w:rPr>
          <w:rFonts w:ascii="Calibri" w:hAnsi="Calibri" w:cs="Calibri"/>
          <w:color w:val="000000"/>
          <w:sz w:val="20"/>
          <w:szCs w:val="20"/>
          <w:lang w:eastAsia="pt-BR"/>
        </w:rPr>
        <w:t>O prazo final do recurso é dia XX/XX/XXXX.</w:t>
      </w:r>
    </w:p>
    <w:p w14:paraId="7ACD77F6" w14:textId="77777777" w:rsidR="0051485C" w:rsidRPr="000D5724" w:rsidRDefault="0051485C" w:rsidP="0051485C">
      <w:pPr>
        <w:widowControl/>
        <w:autoSpaceDE/>
        <w:autoSpaceDN/>
        <w:rPr>
          <w:sz w:val="20"/>
          <w:szCs w:val="20"/>
          <w:lang w:eastAsia="pt-BR"/>
        </w:rPr>
      </w:pPr>
    </w:p>
    <w:p w14:paraId="37800B62" w14:textId="40A98CF4" w:rsidR="0051485C" w:rsidRPr="000D5724" w:rsidRDefault="0051485C" w:rsidP="0051485C">
      <w:pPr>
        <w:widowControl/>
        <w:autoSpaceDE/>
        <w:autoSpaceDN/>
        <w:jc w:val="both"/>
        <w:rPr>
          <w:sz w:val="20"/>
          <w:szCs w:val="20"/>
          <w:lang w:eastAsia="pt-BR"/>
        </w:rPr>
      </w:pPr>
      <w:r w:rsidRPr="000D5724">
        <w:rPr>
          <w:rFonts w:ascii="Calibri" w:hAnsi="Calibri" w:cs="Calibri"/>
          <w:color w:val="000000"/>
          <w:sz w:val="20"/>
          <w:szCs w:val="20"/>
          <w:lang w:eastAsia="pt-BR"/>
        </w:rPr>
        <w:t>Porém, o art. 6º da Resolução 900 do CONTRAN</w:t>
      </w:r>
      <w:r w:rsidR="00136BF1">
        <w:rPr>
          <w:rFonts w:ascii="Calibri" w:hAnsi="Calibri" w:cs="Calibri"/>
          <w:color w:val="000000"/>
          <w:sz w:val="20"/>
          <w:szCs w:val="20"/>
          <w:lang w:eastAsia="pt-BR"/>
        </w:rPr>
        <w:t xml:space="preserve">, bem como o art. 219 </w:t>
      </w:r>
      <w:proofErr w:type="spellStart"/>
      <w:r w:rsidR="00136BF1">
        <w:rPr>
          <w:rFonts w:ascii="Calibri" w:hAnsi="Calibri" w:cs="Calibri"/>
          <w:color w:val="000000"/>
          <w:sz w:val="20"/>
          <w:szCs w:val="20"/>
          <w:lang w:eastAsia="pt-BR"/>
        </w:rPr>
        <w:t>da</w:t>
      </w:r>
      <w:proofErr w:type="spellEnd"/>
      <w:r w:rsidR="00136BF1">
        <w:rPr>
          <w:rFonts w:ascii="Calibri" w:hAnsi="Calibri" w:cs="Calibri"/>
          <w:color w:val="000000"/>
          <w:sz w:val="20"/>
          <w:szCs w:val="20"/>
          <w:lang w:eastAsia="pt-BR"/>
        </w:rPr>
        <w:t xml:space="preserve"> Resolução 918 do CONTRAN</w:t>
      </w:r>
      <w:r w:rsidRPr="000D5724">
        <w:rPr>
          <w:rFonts w:ascii="Calibri" w:hAnsi="Calibri" w:cs="Calibri"/>
          <w:color w:val="000000"/>
          <w:sz w:val="20"/>
          <w:szCs w:val="20"/>
          <w:lang w:eastAsia="pt-BR"/>
        </w:rPr>
        <w:t xml:space="preserve"> diz</w:t>
      </w:r>
      <w:r w:rsidR="00136BF1">
        <w:rPr>
          <w:rFonts w:ascii="Calibri" w:hAnsi="Calibri" w:cs="Calibri"/>
          <w:color w:val="000000"/>
          <w:sz w:val="20"/>
          <w:szCs w:val="20"/>
          <w:lang w:eastAsia="pt-BR"/>
        </w:rPr>
        <w:t>em</w:t>
      </w:r>
      <w:r w:rsidRPr="000D5724">
        <w:rPr>
          <w:rFonts w:ascii="Calibri" w:hAnsi="Calibri" w:cs="Calibri"/>
          <w:color w:val="000000"/>
          <w:sz w:val="20"/>
          <w:szCs w:val="20"/>
          <w:lang w:eastAsia="pt-BR"/>
        </w:rPr>
        <w:t xml:space="preserve"> que:</w:t>
      </w:r>
    </w:p>
    <w:p w14:paraId="4641818C" w14:textId="77777777" w:rsidR="0051485C" w:rsidRPr="000D5724" w:rsidRDefault="0051485C" w:rsidP="0051485C">
      <w:pPr>
        <w:widowControl/>
        <w:autoSpaceDE/>
        <w:autoSpaceDN/>
        <w:rPr>
          <w:rFonts w:ascii="Calibri" w:hAnsi="Calibri" w:cs="Calibri"/>
          <w:i/>
          <w:iCs/>
          <w:color w:val="000000"/>
          <w:sz w:val="20"/>
          <w:szCs w:val="20"/>
          <w:lang w:eastAsia="pt-BR"/>
        </w:rPr>
      </w:pPr>
    </w:p>
    <w:p w14:paraId="5A13B49F" w14:textId="77777777" w:rsidR="0051485C" w:rsidRPr="000D5724" w:rsidRDefault="0051485C" w:rsidP="0051485C">
      <w:pPr>
        <w:pStyle w:val="dou-paragraph"/>
        <w:shd w:val="clear" w:color="auto" w:fill="FFFFFF"/>
        <w:spacing w:before="0" w:beforeAutospacing="0" w:after="0" w:afterAutospacing="0"/>
        <w:ind w:left="1134"/>
        <w:jc w:val="both"/>
        <w:rPr>
          <w:rFonts w:ascii="Calibri" w:hAnsi="Calibri" w:cs="Calibri"/>
          <w:i/>
          <w:iCs/>
          <w:color w:val="000000"/>
          <w:sz w:val="20"/>
          <w:szCs w:val="20"/>
        </w:rPr>
      </w:pPr>
      <w:r w:rsidRPr="000D5724">
        <w:rPr>
          <w:rFonts w:ascii="Calibri" w:hAnsi="Calibri" w:cs="Calibri"/>
          <w:i/>
          <w:iCs/>
          <w:color w:val="000000"/>
          <w:sz w:val="20"/>
          <w:szCs w:val="20"/>
        </w:rPr>
        <w:t>Art. 6º A defesa prévia ou o recurso deverá ser protocolado no órgão ou entidade de trânsito autuador ou enviado, via postal, para o seu endereço, respeitado o disposto no art. 287 do CTB.</w:t>
      </w:r>
    </w:p>
    <w:p w14:paraId="41050CA8" w14:textId="77777777" w:rsidR="0051485C" w:rsidRPr="000D5724" w:rsidRDefault="0051485C" w:rsidP="0051485C">
      <w:pPr>
        <w:pStyle w:val="dou-paragraph"/>
        <w:shd w:val="clear" w:color="auto" w:fill="FFFFFF"/>
        <w:spacing w:before="0" w:beforeAutospacing="0" w:after="0" w:afterAutospacing="0"/>
        <w:ind w:left="1134"/>
        <w:jc w:val="both"/>
        <w:rPr>
          <w:rFonts w:ascii="Calibri" w:hAnsi="Calibri" w:cs="Calibri"/>
          <w:i/>
          <w:iCs/>
          <w:color w:val="000000"/>
          <w:sz w:val="20"/>
          <w:szCs w:val="20"/>
        </w:rPr>
      </w:pPr>
      <w:r w:rsidRPr="000D5724">
        <w:rPr>
          <w:rFonts w:ascii="Calibri" w:hAnsi="Calibri" w:cs="Calibri"/>
          <w:i/>
          <w:iCs/>
          <w:color w:val="000000"/>
          <w:sz w:val="20"/>
          <w:szCs w:val="20"/>
        </w:rPr>
        <w:t>§ 1º Para verificação da tempestividade, deverá ser considerada:</w:t>
      </w:r>
    </w:p>
    <w:p w14:paraId="79C35B26" w14:textId="77777777" w:rsidR="0051485C" w:rsidRPr="000D5724" w:rsidRDefault="0051485C" w:rsidP="0051485C">
      <w:pPr>
        <w:pStyle w:val="dou-paragraph"/>
        <w:shd w:val="clear" w:color="auto" w:fill="FFFFFF"/>
        <w:spacing w:before="0" w:beforeAutospacing="0" w:after="0" w:afterAutospacing="0"/>
        <w:ind w:left="1134"/>
        <w:jc w:val="both"/>
        <w:rPr>
          <w:rFonts w:ascii="Calibri" w:hAnsi="Calibri" w:cs="Calibri"/>
          <w:i/>
          <w:iCs/>
          <w:color w:val="000000"/>
          <w:sz w:val="20"/>
          <w:szCs w:val="20"/>
        </w:rPr>
      </w:pPr>
      <w:r w:rsidRPr="000D5724">
        <w:rPr>
          <w:rFonts w:ascii="Calibri" w:hAnsi="Calibri" w:cs="Calibri"/>
          <w:b/>
          <w:bCs/>
          <w:i/>
          <w:iCs/>
          <w:color w:val="000000"/>
          <w:sz w:val="20"/>
          <w:szCs w:val="20"/>
          <w:u w:val="single"/>
        </w:rPr>
        <w:t xml:space="preserve">I - </w:t>
      </w:r>
      <w:proofErr w:type="gramStart"/>
      <w:r w:rsidRPr="000D5724">
        <w:rPr>
          <w:rFonts w:ascii="Calibri" w:hAnsi="Calibri" w:cs="Calibri"/>
          <w:b/>
          <w:bCs/>
          <w:i/>
          <w:iCs/>
          <w:color w:val="000000"/>
          <w:sz w:val="20"/>
          <w:szCs w:val="20"/>
          <w:u w:val="single"/>
        </w:rPr>
        <w:t>a</w:t>
      </w:r>
      <w:proofErr w:type="gramEnd"/>
      <w:r w:rsidRPr="000D5724">
        <w:rPr>
          <w:rFonts w:ascii="Calibri" w:hAnsi="Calibri" w:cs="Calibri"/>
          <w:b/>
          <w:bCs/>
          <w:i/>
          <w:iCs/>
          <w:color w:val="000000"/>
          <w:sz w:val="20"/>
          <w:szCs w:val="20"/>
          <w:u w:val="single"/>
        </w:rPr>
        <w:t xml:space="preserve"> data da entrega na Empresa Brasileira de Correios e Telégrafos (ECT), no caso de defesa prévia ou de recurso apresentado por via postal</w:t>
      </w:r>
      <w:r w:rsidRPr="000D5724">
        <w:rPr>
          <w:rFonts w:ascii="Calibri" w:hAnsi="Calibri" w:cs="Calibri"/>
          <w:i/>
          <w:iCs/>
          <w:color w:val="000000"/>
          <w:sz w:val="20"/>
          <w:szCs w:val="20"/>
        </w:rPr>
        <w:t>; ou</w:t>
      </w:r>
    </w:p>
    <w:p w14:paraId="568CC401" w14:textId="00051D42" w:rsidR="0051485C" w:rsidRDefault="0051485C" w:rsidP="0051485C">
      <w:pPr>
        <w:pStyle w:val="dou-paragraph"/>
        <w:shd w:val="clear" w:color="auto" w:fill="FFFFFF"/>
        <w:spacing w:before="0" w:beforeAutospacing="0" w:after="0" w:afterAutospacing="0"/>
        <w:ind w:left="1134"/>
        <w:jc w:val="both"/>
        <w:rPr>
          <w:rFonts w:ascii="Calibri" w:hAnsi="Calibri" w:cs="Calibri"/>
          <w:i/>
          <w:iCs/>
          <w:color w:val="000000"/>
          <w:sz w:val="20"/>
          <w:szCs w:val="20"/>
        </w:rPr>
      </w:pPr>
      <w:r w:rsidRPr="000D5724">
        <w:rPr>
          <w:rFonts w:ascii="Calibri" w:hAnsi="Calibri" w:cs="Calibri"/>
          <w:i/>
          <w:iCs/>
          <w:color w:val="000000"/>
          <w:sz w:val="20"/>
          <w:szCs w:val="20"/>
        </w:rPr>
        <w:t xml:space="preserve">II - </w:t>
      </w:r>
      <w:proofErr w:type="gramStart"/>
      <w:r w:rsidRPr="000D5724">
        <w:rPr>
          <w:rFonts w:ascii="Calibri" w:hAnsi="Calibri" w:cs="Calibri"/>
          <w:i/>
          <w:iCs/>
          <w:color w:val="000000"/>
          <w:sz w:val="20"/>
          <w:szCs w:val="20"/>
        </w:rPr>
        <w:t>a</w:t>
      </w:r>
      <w:proofErr w:type="gramEnd"/>
      <w:r w:rsidRPr="000D5724">
        <w:rPr>
          <w:rFonts w:ascii="Calibri" w:hAnsi="Calibri" w:cs="Calibri"/>
          <w:i/>
          <w:iCs/>
          <w:color w:val="000000"/>
          <w:sz w:val="20"/>
          <w:szCs w:val="20"/>
        </w:rPr>
        <w:t xml:space="preserve"> data de protocolo no órgão ou entidade de trânsito da residência ou domicílio do proprietário ou infrator, quando utilizada a forma prevista no art. 287 do CTB.</w:t>
      </w:r>
    </w:p>
    <w:p w14:paraId="5F4024A6" w14:textId="3ACACC93" w:rsidR="00136BF1" w:rsidRDefault="00136BF1" w:rsidP="0051485C">
      <w:pPr>
        <w:pStyle w:val="dou-paragraph"/>
        <w:shd w:val="clear" w:color="auto" w:fill="FFFFFF"/>
        <w:spacing w:before="0" w:beforeAutospacing="0" w:after="0" w:afterAutospacing="0"/>
        <w:ind w:left="1134"/>
        <w:jc w:val="both"/>
        <w:rPr>
          <w:rFonts w:ascii="Calibri" w:hAnsi="Calibri" w:cs="Calibri"/>
          <w:i/>
          <w:iCs/>
          <w:color w:val="000000"/>
          <w:sz w:val="20"/>
          <w:szCs w:val="20"/>
        </w:rPr>
      </w:pPr>
    </w:p>
    <w:p w14:paraId="3629D14C" w14:textId="77777777" w:rsidR="00136BF1" w:rsidRDefault="00136BF1" w:rsidP="00136BF1">
      <w:pPr>
        <w:shd w:val="clear" w:color="auto" w:fill="FFFFFF"/>
        <w:ind w:left="1133"/>
        <w:jc w:val="both"/>
        <w:rPr>
          <w:rFonts w:asciiTheme="minorHAnsi" w:hAnsiTheme="minorHAnsi" w:cstheme="minorHAnsi"/>
          <w:i/>
        </w:rPr>
      </w:pPr>
      <w:r w:rsidRPr="00885ACC">
        <w:rPr>
          <w:rFonts w:asciiTheme="minorHAnsi" w:eastAsia="Arial" w:hAnsiTheme="minorHAnsi" w:cstheme="minorHAnsi"/>
          <w:i/>
          <w:lang w:eastAsia="pt-BR"/>
        </w:rPr>
        <w:t>Art. 29. A contagem dos prazos para apresentação de condutor e interposição da defesa da</w:t>
      </w:r>
      <w:r>
        <w:rPr>
          <w:rFonts w:asciiTheme="minorHAnsi" w:hAnsiTheme="minorHAnsi" w:cstheme="minorHAnsi"/>
          <w:i/>
        </w:rPr>
        <w:t xml:space="preserve"> a</w:t>
      </w:r>
      <w:r w:rsidRPr="00885ACC">
        <w:rPr>
          <w:rFonts w:asciiTheme="minorHAnsi" w:eastAsia="Arial" w:hAnsiTheme="minorHAnsi" w:cstheme="minorHAnsi"/>
          <w:i/>
          <w:lang w:eastAsia="pt-BR"/>
        </w:rPr>
        <w:t>utuação e dos recursos de que trata esta Resolução será em dias consecutivos, excluindo-se o dia da</w:t>
      </w:r>
      <w:r>
        <w:rPr>
          <w:rFonts w:asciiTheme="minorHAnsi" w:hAnsiTheme="minorHAnsi" w:cstheme="minorHAnsi"/>
          <w:i/>
        </w:rPr>
        <w:t xml:space="preserve"> </w:t>
      </w:r>
      <w:r w:rsidRPr="00885ACC">
        <w:rPr>
          <w:rFonts w:asciiTheme="minorHAnsi" w:eastAsia="Arial" w:hAnsiTheme="minorHAnsi" w:cstheme="minorHAnsi"/>
          <w:i/>
          <w:lang w:eastAsia="pt-BR"/>
        </w:rPr>
        <w:t>notificação ou publicação por meio de edital, e incluindo-se o dia do vencimento.</w:t>
      </w:r>
    </w:p>
    <w:p w14:paraId="7D4F1BD5" w14:textId="77777777" w:rsidR="00136BF1" w:rsidRPr="00136BF1" w:rsidRDefault="00136BF1" w:rsidP="00136BF1">
      <w:pPr>
        <w:shd w:val="clear" w:color="auto" w:fill="FFFFFF"/>
        <w:ind w:left="1133"/>
        <w:jc w:val="both"/>
        <w:rPr>
          <w:rFonts w:asciiTheme="minorHAnsi" w:hAnsiTheme="minorHAnsi" w:cstheme="minorHAnsi"/>
          <w:b/>
          <w:bCs/>
          <w:i/>
          <w:u w:val="single"/>
        </w:rPr>
      </w:pPr>
      <w:r w:rsidRPr="00136BF1">
        <w:rPr>
          <w:rFonts w:asciiTheme="minorHAnsi" w:eastAsia="Arial" w:hAnsiTheme="minorHAnsi" w:cstheme="minorHAnsi"/>
          <w:b/>
          <w:bCs/>
          <w:i/>
          <w:u w:val="single"/>
          <w:lang w:eastAsia="pt-BR"/>
        </w:rPr>
        <w:t>Parágrafo único. Considera-se prorrogado o prazo até o 1º (primeiro) dia útil se o vencimento</w:t>
      </w:r>
      <w:r w:rsidRPr="00136BF1">
        <w:rPr>
          <w:rFonts w:asciiTheme="minorHAnsi" w:hAnsiTheme="minorHAnsi" w:cstheme="minorHAnsi"/>
          <w:b/>
          <w:bCs/>
          <w:i/>
          <w:u w:val="single"/>
        </w:rPr>
        <w:t xml:space="preserve"> </w:t>
      </w:r>
      <w:r w:rsidRPr="00136BF1">
        <w:rPr>
          <w:rFonts w:asciiTheme="minorHAnsi" w:eastAsia="Arial" w:hAnsiTheme="minorHAnsi" w:cstheme="minorHAnsi"/>
          <w:b/>
          <w:bCs/>
          <w:i/>
          <w:u w:val="single"/>
          <w:lang w:eastAsia="pt-BR"/>
        </w:rPr>
        <w:t>cair em feriado, sábado, domingo, em dia que não houver expediente ou este for encerrado antes da hora</w:t>
      </w:r>
      <w:r w:rsidRPr="00136BF1">
        <w:rPr>
          <w:rFonts w:asciiTheme="minorHAnsi" w:hAnsiTheme="minorHAnsi" w:cstheme="minorHAnsi"/>
          <w:b/>
          <w:bCs/>
          <w:i/>
          <w:u w:val="single"/>
        </w:rPr>
        <w:t xml:space="preserve"> </w:t>
      </w:r>
      <w:r w:rsidRPr="00136BF1">
        <w:rPr>
          <w:rFonts w:asciiTheme="minorHAnsi" w:eastAsia="Arial" w:hAnsiTheme="minorHAnsi" w:cstheme="minorHAnsi"/>
          <w:b/>
          <w:bCs/>
          <w:i/>
          <w:u w:val="single"/>
          <w:lang w:eastAsia="pt-BR"/>
        </w:rPr>
        <w:t>normal.</w:t>
      </w:r>
    </w:p>
    <w:p w14:paraId="1116E3B2" w14:textId="77777777" w:rsidR="00136BF1" w:rsidRPr="000D5724" w:rsidRDefault="00136BF1" w:rsidP="0051485C">
      <w:pPr>
        <w:pStyle w:val="dou-paragraph"/>
        <w:shd w:val="clear" w:color="auto" w:fill="FFFFFF"/>
        <w:spacing w:before="0" w:beforeAutospacing="0" w:after="0" w:afterAutospacing="0"/>
        <w:ind w:left="1134"/>
        <w:jc w:val="both"/>
        <w:rPr>
          <w:rFonts w:ascii="Calibri" w:hAnsi="Calibri" w:cs="Calibri"/>
          <w:i/>
          <w:iCs/>
          <w:color w:val="000000"/>
          <w:sz w:val="20"/>
          <w:szCs w:val="20"/>
        </w:rPr>
      </w:pPr>
    </w:p>
    <w:p w14:paraId="7148364C" w14:textId="77777777" w:rsidR="0051485C" w:rsidRPr="000D5724" w:rsidRDefault="0051485C" w:rsidP="0051485C">
      <w:pPr>
        <w:widowControl/>
        <w:autoSpaceDE/>
        <w:autoSpaceDN/>
        <w:rPr>
          <w:sz w:val="20"/>
          <w:szCs w:val="20"/>
          <w:lang w:eastAsia="pt-BR"/>
        </w:rPr>
      </w:pPr>
    </w:p>
    <w:p w14:paraId="7A57FCF0" w14:textId="77777777" w:rsidR="0051485C" w:rsidRPr="000D5724" w:rsidRDefault="0051485C" w:rsidP="0051485C">
      <w:pPr>
        <w:widowControl/>
        <w:autoSpaceDE/>
        <w:autoSpaceDN/>
        <w:jc w:val="both"/>
        <w:rPr>
          <w:rFonts w:ascii="Calibri" w:hAnsi="Calibri" w:cs="Calibri"/>
          <w:color w:val="000000"/>
          <w:sz w:val="20"/>
          <w:szCs w:val="20"/>
          <w:lang w:eastAsia="pt-BR"/>
        </w:rPr>
      </w:pPr>
      <w:r w:rsidRPr="000D5724">
        <w:rPr>
          <w:rFonts w:ascii="Calibri" w:hAnsi="Calibri" w:cs="Calibri"/>
          <w:color w:val="000000"/>
          <w:sz w:val="20"/>
          <w:szCs w:val="20"/>
          <w:lang w:eastAsia="pt-BR"/>
        </w:rPr>
        <w:t xml:space="preserve">Assim, considera-se a data do protocolo do recurso a data do envio do recurso ao correio, como é possível verificar no envelope e comprovante de postagem, a defesa/recurso foi </w:t>
      </w:r>
      <w:proofErr w:type="gramStart"/>
      <w:r w:rsidRPr="000D5724">
        <w:rPr>
          <w:rFonts w:ascii="Calibri" w:hAnsi="Calibri" w:cs="Calibri"/>
          <w:color w:val="000000"/>
          <w:sz w:val="20"/>
          <w:szCs w:val="20"/>
          <w:lang w:eastAsia="pt-BR"/>
        </w:rPr>
        <w:t>POSTADO</w:t>
      </w:r>
      <w:proofErr w:type="gramEnd"/>
      <w:r w:rsidRPr="000D5724">
        <w:rPr>
          <w:rFonts w:ascii="Calibri" w:hAnsi="Calibri" w:cs="Calibri"/>
          <w:color w:val="000000"/>
          <w:sz w:val="20"/>
          <w:szCs w:val="20"/>
          <w:lang w:eastAsia="pt-BR"/>
        </w:rPr>
        <w:t xml:space="preserve"> no correio no dia XX/XX/XXXX, último de dia de prazo.</w:t>
      </w:r>
    </w:p>
    <w:p w14:paraId="1C8F82CB" w14:textId="77777777" w:rsidR="0051485C" w:rsidRPr="000D5724" w:rsidRDefault="0051485C" w:rsidP="0051485C">
      <w:pPr>
        <w:widowControl/>
        <w:autoSpaceDE/>
        <w:autoSpaceDN/>
        <w:jc w:val="both"/>
        <w:rPr>
          <w:sz w:val="20"/>
          <w:szCs w:val="20"/>
          <w:lang w:eastAsia="pt-BR"/>
        </w:rPr>
      </w:pPr>
    </w:p>
    <w:p w14:paraId="4899661C" w14:textId="6A138123" w:rsidR="0051485C" w:rsidRPr="000D5724" w:rsidRDefault="0051485C" w:rsidP="0051485C">
      <w:pPr>
        <w:widowControl/>
        <w:autoSpaceDE/>
        <w:autoSpaceDN/>
        <w:spacing w:after="160"/>
        <w:rPr>
          <w:sz w:val="20"/>
          <w:szCs w:val="20"/>
          <w:lang w:eastAsia="pt-BR"/>
        </w:rPr>
      </w:pPr>
      <w:r w:rsidRPr="000D5724">
        <w:rPr>
          <w:rFonts w:ascii="Calibri" w:hAnsi="Calibri" w:cs="Calibri"/>
          <w:color w:val="000000"/>
          <w:sz w:val="20"/>
          <w:szCs w:val="20"/>
          <w:lang w:eastAsia="pt-BR"/>
        </w:rPr>
        <w:t>Portanto, essa defesa</w:t>
      </w:r>
      <w:r w:rsidR="00136BF1">
        <w:rPr>
          <w:rFonts w:ascii="Calibri" w:hAnsi="Calibri" w:cs="Calibri"/>
          <w:color w:val="000000"/>
          <w:sz w:val="20"/>
          <w:szCs w:val="20"/>
          <w:lang w:eastAsia="pt-BR"/>
        </w:rPr>
        <w:t>/recurso</w:t>
      </w:r>
      <w:r w:rsidRPr="000D5724">
        <w:rPr>
          <w:rFonts w:ascii="Calibri" w:hAnsi="Calibri" w:cs="Calibri"/>
          <w:color w:val="000000"/>
          <w:sz w:val="20"/>
          <w:szCs w:val="20"/>
          <w:lang w:eastAsia="pt-BR"/>
        </w:rPr>
        <w:t xml:space="preserve"> é TEMPESTIVA.</w:t>
      </w:r>
    </w:p>
    <w:p w14:paraId="5167D0D9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5C"/>
    <w:rsid w:val="00072554"/>
    <w:rsid w:val="00136BF1"/>
    <w:rsid w:val="00424F11"/>
    <w:rsid w:val="0051485C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AC284"/>
  <w15:chartTrackingRefBased/>
  <w15:docId w15:val="{62C39862-40A2-497C-B04E-44E0CEDC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4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ou-paragraph">
    <w:name w:val="dou-paragraph"/>
    <w:basedOn w:val="Normal"/>
    <w:rsid w:val="0051485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251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3</cp:revision>
  <dcterms:created xsi:type="dcterms:W3CDTF">2023-03-02T15:13:00Z</dcterms:created>
  <dcterms:modified xsi:type="dcterms:W3CDTF">2023-03-02T15:26:00Z</dcterms:modified>
</cp:coreProperties>
</file>