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令和2年度（2020年）貸金業務取扱主任者資格試験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第15回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アップロードされた「令和2年 2020年貸金問題」では、正解番号が50問中23問で公式正答と食い違っていました。公式正答に直しています。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手形の割引、売渡担保その他これらに類する方法によってする金銭の交付又は当該方法によってする金銭の授受の媒介を含む。）で業として行うものをいうが、貸金業から除かれるものの1つとして、事業者がその従業者に対して行うもの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資金需要者等とは、資金需要者である顧客又は債務者をいい、保証人となろうとする者及び保証人は、資金需要者等に含まれない。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個人信用情報とは、資金需要者である顧客又は債務者の借入金の返済能力に関する情報をいう。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住宅資金貸付契約とは、住宅の建設又は購入に必要な資金（住宅の用に供する土地又は借地権の取得に必要な資金を含む。）の貸付けに係る契約をいい、住宅の改良に必要な資金の貸付けに係る契約は、住宅資金貸付契約に含ま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貸金業者の登録等に関する次のａ～ｄの記述のうち、その内容が適切なものの個数を①～④の中から1つだけ選び、解答欄にその番号をマークしなさい。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法第4条（登録の申請）第1項第2号等に規定する政令で定める使用人は、貸金業の登録を受けようとする者の使用人で、貸金業に関し貸金業法第4条第1項に規定する営業所又は事務所の業務を統括する者その他これに準ずる者で内閣府令で定めるもので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貸金業者は、貸金業の登録の更新を受けようとするときは、その者が現に受けている貸金業の登録の有効期間満了の日までに当該登録の更新を申請しなければならない。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貸金業者登録簿には、貸金業者の商号、名称又は氏名及び住所、営業所又は事務所の名称及び所在地等のほか、業務の種類及び方法も登録される。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法第4条第1項の登録申請書に記載する営業所又は事務所とは、貸金業者又はその代理人が一定の場所で貸付けに関する業務の全部又は一部を継続して営む施設又は設備をいうが、貸金業者が既存の営業所又は事務所の隣接地に新たに設置する、現金自動設備及び自動契約受付機は、いずれも営業所又は事務所には該当し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貸金業法第10条（廃業等の届出）に関する次の①～④の記述のうち、その内容が適切なものを1つだけ選び、解答欄にその番号をマークしなさい。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式会社である貸金業者がその株主総会における解散決議により解散した場合、当該株式会社の貸金業の登録は、その清算人がその旨をその登録をした内閣総理大臣又は都道府県知事（以下、本問において「登録行政庁」という。）に届け出た時に、その効力を失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株式会社である貸金業者が合併により消滅した場合、合併による存続会社又は新設会社を代表する役員は、その日から30日以内に、その旨を登録行政庁に届け出なければならない。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個人である貸金業者について破産手続開始の決定があった場合、当該個人は、その日から30日以内に、その旨を登録行政庁に届け出なければならない。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である貸金業者が死亡した場合においては、相続人（相続人が2人以上ある場合において、その全員の同意により事業を承継すべき相続人を選定したときは、その者）は、被相続人の死亡後60日間（当該期間内に貸金業法第6条第1項の規定による登録の拒否の処分があったときは、その日までの間）は、引き続き貸金業を営む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者向けの総合的な監督指針において、監督当局が、外部委託（貸金業者が貸金業の業務を第三者に委託すること）について貸金業者を監督するに当たって留意するものとされている事項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外部委託には、形式上、外部委託契約が結ばれていなくともその実態において外部委託と同視しうる場合や当該外部委託された業務等が海外で行われる場合も含まれる。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委託業務に関して契約どおりサービスの提供が受けられず、顧客利便に支障が生じるおそれがある場合、直ちに外部委託先を変更して変更後の外部委託先に対応させるための態勢を整備しているか。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外部委託先において漏えい事故等が発生した場合に、適切な対応がなされ、速やかに外部委託先から監督当局に報告される体制になっていることを確認しているか。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二段階以上の委託が行われた場合であっても、再委託先等の事業者に対して貸金業者自身による直接の監督を行い、外部委託先に対して再委託先等の事業者への監督を行わせないような措置が講じられ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貸金業法第12条の3（貸金業務取扱主任者の設置）に関する次の①～④の記述のうち、その内容が適切なものを1つだけ選び、解答欄にその番号をマークしなさい。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自動契約受付機もしくは現金自動設備のみにより貸付けに関する業務を行う営業所もしくは事務所又は代理店を除く。以下、本問において「営業所等」という。）ごとに、貸金業の業務に従事する者50人に1人の割合で貸金業務取扱主任者を置かなければならないが、当該貸金業の業務に従事する者には、人事、労務、経理又はシステム管理等その業務遂行の影響が、通常、資金需要者等に及ばない業務に従事する者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法施行規則第10条の7（貸金業務取扱主任者の設置）第1号の「常時勤務する者」とは、営業時間内に営業所等に常時駐在する必要はなく、2つの営業所等が同じ建物内にあり、貸金業務取扱主任者が常時往来できると認められる実態があれば、2つの営業所等を兼務する貸金業務取扱主任者を置くことができ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金業務取扱主任者が貸金業法第12条の3第1項の助言又は指導に係る職務を適切に遂行できるよう必要な配慮を行わなければならず、貸金業の業務に従事する使用人その他の従業者は、貸金業務取扱主任者が行う同項の助言を尊重するとともに、同項の指導に従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営業所等における唯一の貸金業務取扱主任者が定年退職により当該営業所等に常時勤務する者でなくなった場合において、その後も当該営業所等で貸金業の業務を継続するときは、当該貸金業務取扱主任者が常時勤務する者でなくなった日から2週間以内に、新たに貸金業務取扱主任者を当該営業所等に置か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貸金業法第12条の6（禁止行為）に関する次のａ～ｄの記述のうち、その内容が適切なものの組み合わせを①～④の中から1つだけ選び、解答欄にその番号をマークしなさい。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保証人となろうとする者に対し、主たる債務者が弁済することが確実であると誤解させるおそれのあることを告げる行為をした場合、その登録をした内閣総理大臣又は都道府県知事（以下、本問において「登録行政庁」という。）から、その登録を取り消され、又は1年以内の期間を定めて、その業務の全部もしくは一部の停止を命じられること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貸金業者は、資金需要者等に対し、不確実な事項について断定的判断を提供し、又は確実であると誤認させるおそれのあることを告げる行為をした場合、貸金業法上、刑事罰の対象となる。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例えば、資金需要者等から契約の内容について問合せがあったにもかかわらず、当該内容について回答せず、資金需要者等に不利益を与えることは、貸金業法第12条の6第1号に規定する「貸付けの契約の内容のうち重要な事項を告げない」行為に該当するおそれが大きいことに留意する必要があ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法第12条の6第4号に規定する「偽りその他不正又は著しく不当な行為」にいう「不正な」行為とは、違法な行為には該当しないが、客観的に見て、実質的に妥当性を欠く又は適当でない行為、「不当な」行為とは、不正な程度にまで達していない行為をいう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貸金業法第12条の8（利息、保証料等に係る制限等）に関する次のａ～ｄの記述のうち、その内容が適切なものの組み合わせを①～④の中から1つだけ選び、解答欄にその番号をマークしなさい。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その利息（みなし利息を含む。）が利息制限法第1条に規定する金額を超える利息の契約を締結してはならない。また、貸金業者は、同条に規定する金額を超える利息を受領し、又はその支払を要求しては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金銭の貸借の媒介を行った貸金業者は、当該媒介により締結された貸付けに係る契約の債務者から当該媒介の手数料を受領した。この場合において、当該貸付けに係る契約について更新があったときは、当該貸金業者は、当該更新に対する新たな手数料を当該債務者から受領することができ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付けに係る契約について、業として保証を行う者（以下、本問において「保証業者」という。）と保証契約を締結しようとするときは、あらかじめ、当該保証契約を締結するまでに、当該保証業者への照会その他の方法により、当該保証業者と当該貸付けに係る契約の相手方又は相手方となろうとする者との間における保証料に係る契約の締結の有無、及び当該保証料に係る契約を締結する場合には当該保証料の額を確認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保証業者との間で根保証契約（一定の範囲に属する不特定の貸付けに係る債務を主たる債務とする保証契約をいう。）を締結しようとする場合において、当該根保証契約が、当該根保証契約において1年を経過した日より後の日を元本確定期日として定める根保証契約又は元本確定期日の定めがない根保証契約に当たるものであるときは、当該根保証契約を締結しては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法第13条（返済能力の調査）に関する次の記述のうち、その内容が適切なものを①～④の中から1つだけ選び、解答欄にその番号をマークしなさい。なお、本問における貸付けに係る契約は、極度方式基本契約及び極度方式貸付けに係る契約ではないものとする。また、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個人である顧客との間で、他の貸金業者を債権者とする金銭の貸借の媒介に係る契約を締結しようとする場合、当該顧客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法人である顧客との間で、手形（融通手形を除く。）の割引を内容とする契約を締結しようとする場合、当該顧客の収入又は収益その他の資力、信用、借入れの状況、返済計画その他の返済能力に関する事項を調査す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当該貸金業者とは他に貸付けに係る契約を締結していない個人である顧客との間で、貸付けの金額が30万円である貸付けに係る契約を締結しようとする場合において、指定信用情報機関が保有する信用情報を使用して返済能力の調査を行った結果、当該顧客の他の貸金業者に対する借入残高が70万円であることが判明したときは、当該契約を締結するに際して、当該顧客から、当該顧客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個人である顧客との間で、貸付けに係る契約を締結した場合、内閣府令で定めるところにより、貸金業法第13条第1項の規定による調査に関する記録を作成し、これを当該貸付けに係る契約に定められた最終の返済期日（当該貸付けに係る契約に基づく債権が弁済その他の事由により消滅したときにあって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は、個人顧客Ｂとの間で極度額を30万円とする極度方式基本契約（以下、本問において「本件基本契約」という。）を締結した。Ａは、Ｂとの間で本件基本契約以外の貸付けに係る契約を締結していない。この場合において、Ａが行う貸金業法第13条に規定する返済能力調査に関する次のａ～ｄの記述のうち、その内容が適切なものの個数を①～④の中から1つだけ選び、解答欄にその番号をマークしなさい。なお、本件基本契約は、貸金業法施行規則第1条の2の3（個人信用情報の対象とならない契約）第2号から第5号までに掲げる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に返済能力の低下が認められたことを理由に極度額を一時的に10万円に減額した後、Ｂとの間の合意に基づき、極度額を、当該極度方式基本契約を締結した当初の30万円に戻そうとする場合、Ｂの返済能力の調査を行う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に対し本件基本契約に基づく極度方式貸付けの元本の残高の上限として極度額を下回る額を提示している場合において、当該下回る額を極度額まで増額するときは、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の間の合意に基づき、本件基本契約における極度額を50万円に増額しようとする場合において、指定信用情報機関から提供を受けた信用情報により判明したＢに対するＡ以外の貸金業者の貸付けの残高の合計額は0円であった。この場合、Ａは、Ｂから源泉徴収票その他の当該顧客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本件基本契約の極度額を増額した時に作成した返済能力の調査に関する記録を、本件基本契約の解除の日又は本件基本契約に基づくすべての極度方式貸付けに係る契約に定められた最終の返済期日のうち最後のもの（これらの契約に基づく債権のすべてが弁済その他の事由により消滅したときは、その消滅した日）のうちいずれか早い日までの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株式会社である貸金業者Ａが、個人顧客Ｂとの間で締結している極度方式基本契約（以下、本問において「本件基本契約」という。）について行う、本件基本契約が基準額超過極度方式基本契約に該当するかどうかの調査（以下、本問において「本件調査」という。）に関する次のａ～ｄの記述のうち、その内容が適切なものの組み合わせを①～④の中から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5万円で、当該「所定の期間」の末日における本件基本契約に基づく極度方式貸付けの残高の合計額が10万円であった場合、本件調査を行わ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が本件基本契約に基づく極度方式貸付けに係る契約により負う債務の履行を遅滞したことにより本件基本契約に基づく新たな極度方式貸付けの停止に係る措置を講じていた場合において当該措置を解除したときは、その日から2週間を経過する日までに本件調査を行わ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Ａは、本件調査をしなければならない場合、「所定の期間」の末日から3週間を経過する日までに、指定信用情報機関にＢの個人信用情報の提供を依頼しなければならない。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本件調査をしなければならない場合において、Ｂに係る極度方式個人顧客合算額が120万円である場合、当該調査を行うに際し、既に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貸金業法第14条（貸付条件等の掲示）に関する次のａ～ｄの記述のうち、その内容が適切なものの組み合わせを①～④の中から1つだけ選び、解答欄にその番号をマークしなさい。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貸付条件等の掲示として、営業所又は事務所（以下、本問において「営業所等」という。）ごとに掲示しなければならない事項には、当該営業所等に置かれる貸金業務取扱主任者の氏名、役職名及び登録番号が含ま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貸金業者が、貸付条件等の掲示として、営業所等ごとに掲示しなければならない事項には、金銭の貸付けにおいて担保を供することが必要な場合における当該担保に関する事項が含まれる。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付条件等の掲示として、営業所等ごとに貸付けの利率を掲示する場合において、その年率(注)を百分率で表示するときは、少なくとも小数点以下一位まで表示する方法により行わ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貸金業者が、貸付条件等の掲示をしなければならない営業所等には、あらかじめ定める条件により継続して貸付けを行う契約に基づく金銭の交付又は回収のみを行う現金自動設備が含まれる。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年率とは、利息及び貸金業法第12条の8第2項に規定するみなし利息の総額（1年分に満たない利息及び同項に規定するみなし利息を元本に組み入れる契約がある場合にあっては、当該契約に基づき元本に組み入れられた金銭を含む。）を内閣府令で定める方法によって算出した元本の額で除して得た年率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次のａ～ｄの記述のうち、貸付けに係る契約を締結しようとする場合における貸金業法第16条の2第1項に規定する書面（契約締結前の書面）に記載し、明らかにしなければならない事項に該当するものの個数を①～④の中から1つだけ選び、解答欄にその番号をマークしなさい。なお、本問における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契約申込年月日</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貸金業者の商号、名称又は氏名及び住所</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契約の相手方となろうとする者の商号、名称又は氏名及び住所</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保証人となろうとする者の商号、名称又は氏名及び住所</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法第18条第1項に規定する書面（以下、本問において「受取証書」という。）の交付及び貸金業法第22条に規定する債権の証書（以下、本問において「債権証書」という。）の返還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営業所の窓口において、貸付けに係る契約に基づく債権の全部について、当該契約の債務者から弁済を受けたときは、遅滞なく、内閣府令で定めるところにより、受取証書を当該債務者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預金又は貯金の口座に対する払込みにより、貸付けに係る契約に基づく債権の全部について、当該契約の債務者から弁済を受けた場合、当該債務者の請求があったときに限り、受取証書を当該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極度方式貸付けに係る契約に基づく債権の全部について、当該契約の債務者から弁済を受けた場合において、当該債務者の承諾を得て、内閣府令で定めるところにより、貸金業法第18条第3項に規定する一定期間における貸付け及び弁済その他の取引の状況を記載した書面（マンスリーステートメント）を交付するときは、弁済を受けた日から1か月以内に、受領年月日及び受領金額を記載した受取証書を当該債務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き債権証書を有する場合において、当該契約に基づく債権の全部について、当該契約の債務者以外の第三者から弁済を受けたときは、当該契約の債務者の請求があったときに限り、債権証書を当該債務者に返還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次のａ～ｄの記述のうち、日本貸金業協会が定める貸金業の業務運営に関する自主規制基本規則において、協会員が取立て行為を行うにあたり、貸金業法第21条第1項に定める「威迫」及び「その他の人の私生活もしくは業務の平穏を害するような言動」に該当するおそれがあるとされてい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多人数で訪問すること。例示として、3名以上が挙げられる。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不適当な時期に取立ての行為を行うこと。例示として、親族の冠婚葬祭時等が挙げられる。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反復継続した取立て行為を行うこと。例示として、電子メールや文書を用いた連絡を、前回送付又は送信から3日以内に行うこと等が挙げられる。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親族又は第三者に対し、支払の要求をすること。例示として、支払申し出があった際、支払義務がないことを伝えないこと等が挙げられる。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貸金業者に対する監督等に関する次の①～④の記述のうち、その内容が適切なものを1つだけ選び、解答欄にその番号をマークしなさい。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を休止した場合は、内閣府令で定めるところにより、その旨を貸金業の登録をした内閣総理大臣又は都道府県知事（以下、本問において「登録行政庁」という。）に届け出る必要はないが、貸金業を廃止した場合は、その旨を登録行政庁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貸金業者の営業所もしくは事務所の所在地又は当該貸金業者の所在（法人である場合においては、その役員の所在）を確知できない場合において、内閣府令で定めるところにより、その事実を公告し、その公告の日から2週間を経過しても当該貸金業者から申出がないときは、その登録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24条の6の12第1項に規定する監督を行うため、登録行政庁は、貸金業協会に加入していない貸金業者に対して、貸金業協会の定款、業務規程その他の規則を考慮し、当該貸金業者又はその役員もしくは使用人が遵守すべき規則の作成又は変更を命ず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の業務の運営に関し、資金需要者等の利益の保護を図るため必要があると認めるときは、貸金業法その他の法令に違反する事実があると認定した上で、当該貸金業者に対して、業務の方法の変更その他業務の運営の改善に必要な措置を命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Ａは貸金業者、ＢはＡの顧客、Ｃは保証業者である。保証料の制限等に関する次の①～④の記述のうち、利息制限法及び出資法(注)上、その内容が適切なものを1つだけ選び、解答欄にその番号をマークしなさい。なお、本問における営業的金銭消費貸借契約は、貸付期間を1年とし元利一括返済とする旨の約定がなさ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額100万円、利率年1割3分（13％）とする営業的金銭消費貸借契約を締結して100万円をＢに貸し付け、当該契約について、Ｃとの間で、保証契約を締結した。この場合において、ＣがＢとの間で締結する保証料の契約は、その保証料が20,000円を超えるときは、その契約の全部が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額50万円、利率年1割4分（14％）とする営業的金銭消費貸借契約を締結して50万円をＢに貸し付け、当該契約について、Ｃとの間で、保証契約を締結した。その後、Ｃは、Ｂとの間で、ＣがＢから15,000円の保証料の支払を受ける旨の保証料の契約を締結した。この場合において、ＡとＢとの合意により、当該営業的金銭消費貸借契約の利息を利率年1割6分（16％）に変更したときは、当該変更後の利息の約定は、年1割5分（15％）を超え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額80万円とする営業的金銭消費貸借契約を締結して80万円をＢに貸し付け、ＢがＡに支払う利息を変動利率をもって定めた。Ａは、当該契約について、Ｃとの間で、保証契約を締結し、当該保証契約においてＡがＢから支払を受けることができる利息の利率の上限を年1割6分（16％）とする定めをし、当該定めをＢに通知した。この場合、Ｃは、Ｂとの間で保証料の契約を締結し、Ｂから、24,000円の範囲内で保証料の支払を受け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額20万円、利率年1割2分（12％）とする営業的金銭消費貸借契約を締結して20万円をＢに貸し付け、当該契約について、Ｃとの間で、保証契約を締結した。その後、Ｃは、Ｂとの間で、ＣがＢから20,000円の保証料の支払を受ける旨の保証料の契約を締結した。この場合、Ａ及びＣは、出資法上、刑事罰の対象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次の①～④の記述のうち、貸金業法第6条（登録の拒否）第1項各号のいずれにも該当しないものを1つだけ選び、解答欄にその番号をマークしなさい。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貸金業法第24条の6の4（監督上の処分）第1項の規定により貸金業の登録を取り消された株式会社の取締役を当該取消しの日の60日前に退任した者であって、当該取消しの日から5年を経過しないもの</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破産手続開始の決定を受けて復権を得ない者</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禁錮以上の刑に処せられ、その刑の執行を終わり、又は刑の執行を受けることがなくなった日から5年を経過しない者</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株式会社であって、再生手続開始の決定又は更生手続開始の決定のいずれも受けておらず、その純資産額が3,000万円である者</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貸金業法第8条（変更の届出）に関する次の①～④の記述のうち、その内容が適切でないものを1つだけ選び、解答欄にその番号をマークしなさい。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商号、名称又は氏名に変更があった場合、その日から2週間以内に、その旨を貸金業の登録を受け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株式会社である貸金業者は、その取締役の氏名に変更があったときは、その日から2週間以内に、その旨を登録行政庁に届け出なければならない。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貸金業者は、営業所又は事務所に置いた貸金業務取扱主任者がその登録の更新を受けたときは、その日から2週間以内に、その旨を登録行政庁に届け出なければならない。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貸金業者は、その業務に関して広告又は勧誘をする際に表示等をする営業所又は事務所のホームページアドレスを変更しようとするときは、あらかじめ、その旨を登録行政庁に届け出なければならない。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貸金業者向けの総合的な監督指針における反社会的勢力による被害の防止に関する次の①～④の記述のうち、その内容が適切でないものを1つだけ選び、解答欄にその番号をマークしなさい。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反社会的勢力による不当要求への対処として、反社会的勢力からの不当要求があった場合には積極的に警察・暴力追放運動推進センター・弁護士等の外部専門機関に相談するとともに、暴力追放運動推進センター等が示している不当要求対応要領等を踏まえた対応を行うこととしているか。特に、脅迫・暴力行為の危険性が高く緊急を要する場合には直ちに警察に通報を行うこととしている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反社会的勢力との関係を遮断するための対応を総括する部署において、反社会的勢力による被害を防止するための一元的な管理態勢が構築され、反社会的勢力に関する情報を積極的に収集・分析するとともに、当該情報を一元的に管理したデータベースを構築し、適切に更新する体制となっているか。ただし、当該情報の収集・分析等に際し、グループ内で情報の共有をすることは、個人情報の保護に関する法律への抵触を避けるために、行わないこととし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反社会的勢力との取引を未然に防止するため、反社会的勢力に関する情報等を活用した適切な事前審査を実施するとともに、契約書や取引約款への暴力団排除条項の導入を徹底するなど、反社会的勢力が取引先となることを防止しているか。また、提携ローンについては、暴力団排除条項の導入を徹底の上、貸金業者が自ら事前審査を実施する体制を整備し、かつ、提携先の信販会社における暴力団排除条項の導入状況や反社会的勢力に関するデータベースの整備状況等を検証する態勢となっている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反社会的勢力との取引解消に向けた取組みとして、いかなる理由であれ、反社会的勢力であることが判明した場合には、資金提供や不適切・異例な取引を行わない態勢を整備しているか。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者Ａは、貸付けに係る契約について、個人である保証人となろうとする者Ｂとの間で保証契約を締結しようとしている。この場合に関する次の①～④の記述のうち、その内容が適切でないものを1つだけ選び、解答欄にその番号をマークしなさい。なお、本問における貸金業者Ａ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Ａは、Ｂとの間で保証契約を締結しようとする場合、Ｂの収入又は収益その他の資力、信用、借入れの状況、返済計画その他の返済能力に関する事項を調査しなければならない。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Ａは、Ｂとの間で保証契約を締結しようとする場合、Ｂの返済能力の調査を行うに際し、指定信用情報機関が保有する信用情報を使用しなければならない。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貸付けの金額が100万円を超える貸付けに係る契約について保証契約を締結しようとする場合には、Ｂから、源泉徴収票その他のＢの収入又は収益その他の資力を明らかにする事項を記載し、又は記録した書面又は電磁的記録として内閣府令で定めるものの提出又は提供を受け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保証契約を締結した場合、内閣府令で定めるところにより、Ｂの返済能力の調査に関する記録を作成し、当該保証契約の解除の日又は当該保証契約に基づく債務が消滅した日のうちいずれか遅い日までの間、これを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次の①～④の記述のうち、貸金業法第13条の2（過剰貸付け等の禁止）第2項に規定する個人過剰貸付契約から除かれる契約として貸金業法施行規則第10条の21で定めるもの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個人顧客又は当該個人顧客の親族で当該個人顧客と生計を一にする者の健康保険法第115条第1項及び第147条に規定する高額療養費を支払うために必要な資金の貸付けに係る契約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自動車の購入に必要な資金の貸付けに係る契約のうち、当該自動車の所有権を貸金業者が取得し、又は当該自動車が譲渡により担保の目的となっているもの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のために担保を提供する者の居宅を担保とする貸付けに係る契約であって、当該個人顧客の返済能力を超えないと認められるもの（貸付けの金額が当該貸付けに係る契約の締結時における当該居宅の価格の範囲内であるものに限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手形の割引を内容とする契約であって、割引の対象となる手形が融通手形ではないもの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保証契約を締結する場合の書面の交付に関する次の①～④の記述のうち、その内容が適切でないものを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ついて保証契約を締結しようとする場合には、当該保証契約を締結するまでに、内閣府令で定めるところにより、貸金業法第16条の2第3項に規定する書面について、貸金業法施行規則第12条の2第6項の規定に基づき当該保証契約の概要を記載した書面及び詳細を記載した書面の2種類の書面を同時に、当該保証契約の保証人となろうとする者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について保証契約を締結したときは、遅滞なく、内閣府令で定めるところにより、貸金業法第17条第3項前段に規定する書面（以下、本問において「保証契約における契約締結時の書面」という。）に加えて、貸金業法第17条第1項各号に掲げる事項について当該貸付けに係る契約の内容を明らかにする書面を当該保証契約の保証人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について保証契約を締結したときは、遅滞なく、内閣府令で定めるところにより、貸金業法第17条第1項各号に掲げる事項について当該貸付けに係る契約の内容を明らかにする書面に加えて、保証契約における契約締結時の書面を当該貸付けに係る契約の相手方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いて保証契約を締結した後に当該保証契約における保証期間を変更した場合、当該変更が当該保証契約の保証人の利益となる変更であるときを除き、変更後の保証期間が記載された保証契約における契約締結時の書面を当該保証人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者Ａが、個人顧客Ｂとの間で貸付けに係る契約を締結し金銭をＢに貸し付け、Ｂに貸金業法第17条第1項に規定する書面（以下、本問において「契約締結時の書面」という。）を交付した後に、Ｂとの合意に基づき契約締結時の書面に記載した事項を変更した。この場合に関する次の①～④の記述のうち、その内容が適切でないものを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Ａは、「貸付けの利率」を引き上げた場合、変更後の内容を記載した契約締結時の書面をＢに再交付しなければならない。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Ａは、「返済の方式」を変更した場合、変更後の内容を記載した契約締結時の書面をＢに再交付しなければならない。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Ａは、「返済の方法及び返済を受ける場所」を変更した場合、当該変更がＢの利益となるか否かを問わず、変更後の内容を記載した契約締結時の書面をＢに再交付しなければならない。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契約上、返済期日前の返済ができるか否か及び返済ができるときはその内容」を変更した場合、当該変更がＢの利益となるか否かを問わず、変更後の内容を記載した契約締結時の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貸金業者が貸金業法に基づき保存すべきものに関する次の①～④の記述のうち、その内容が適切でないものを1つだけ選び、解答欄にその番号をマークしなさい。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貸金業者は、貸金業法第12条の4（証明書の携帯等）第2項に規定する従業者名簿を、最終の記載をした日から10年間保存しなければならない。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金業法施行規則第10条の21（個人過剰貸付契約から除かれる契約）第1項第1号に規定する不動産の建設又は不動産の改良に必要な資金の貸付けに係る契約（極度方式基本契約及び極度方式貸付けに係る契約ではないものとする。）を締結した場合には、不動産の建設工事の請負契約書その他の締結した契約が当該規定に掲げる契約に該当することを証明する書面又はそれらの写しを、当該貸付けに係る契約に定められた最終の返済期日（当該貸付けに係る契約に基づく債権が弁済その他の事由により消滅したときにあっては、当該債権の消滅した日）までの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内閣府令で定めるところにより、当該調査に関する記録を作成し、これを当該極度方式基本契約に基づくすべての極度方式貸付けに係る契約に定められた最終の返済期日のうち最後のものが到来する日（これらの契約に基づく債権のすべてが弁済その他の事由により消滅したときは、その消滅した日）までの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極度方式基本契約を締結した場合には、貸金業法第19条に規定する帳簿を、当該極度方式基本契約及び当該極度方式基本契約に基づくすべての極度方式貸付けに係る契約について、当該極度方式基本契約の解除の日又はこれらの契約に定められた最終の返済期日のうち最後のもの（これらの契約に基づく債権のすべてが弁済その他の事由により消滅したときにあっては、その消滅した日）のうちいずれか遅い日から少なくとも10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金業者向けの総合的な監督指針（以下、本問において「監督指針」という。）における不祥事件に対する監督上の対応に関する次の①～④の記述のうち、その内容が監督指針の記載に合致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監督当局は、貸金業者において不祥事件が発覚し、当該貸金業者から第一報があった場合において、刑罰法令に抵触しているおそれのある事実が認められたときは、直ちに、当該貸金業者の営業所等への立入検査を実施し、警察等関係機関等への通報を行うに当たって必要となる不祥事件に関する証拠保全が実施されていることを確認するものと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当局は、不祥事件と貸金業者の業務の適切性の関係については、「不祥事件の発覚後の対応は適切か」、「不祥事件への経営陣の関与はないか、組織的な関与はないか」、「不祥事件の内容が資金需要者等に与える影響はどうか」、「内部牽制機能が適切に発揮されているか」、「再発防止のための改善策の策定や自浄機能は十分か、関係者の責任の追及は明確に行われているか」、「資金需要者等に対する説明や問い合わせへの対応等は適切か」の着眼点に基づき検証を行うことと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監督当局は、不祥事件の届出があった場合には、事実関係（当該行為が発生した営業所等、当該行為者の氏名・職名・職歴（貸金業務取扱主任者である場合にはその旨）、当該行為の概要、発覚年月日、発生期間、発覚の端緒）、発生原因分析、改善・対応策等について深度あるヒアリングを実施し、必要に応じて貸金業法第24条の6の10に基づき報告書を徴収することにより、貸金業者の自主的な業務改善状況を把握すること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当局は、不祥事件の届出があった場合において、資金需要者等の利益の保護の観点から重大な問題があると認められるときには、貸金業者に対して、貸金業法第24条の6の3の規定に基づく業務改善命令を発出することとする。また、重大・悪質な法令違反行為が認められるときには、貸金業法第24条の6の4に基づく業務停止命令等の発出を検討するもの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法第41条の35（個人信用情報の提供）及び同法第41条の36（指定信用情報機関への信用情報の提供等に係る同意の取得等）に関する次の①～④の記述のうち、その内容が適切でないものを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加入貸金業者(注1)は、資金需要者である個人の顧客を相手方とする極度方式基本契約を締結したときは、遅滞なく、当該極度方式基本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加入貸金業者は、加入指定信用情報機関に資金需要者等に係る信用情報の提供の依頼（当該資金需要者等に係る他の指定信用情報機関が保有する個人信用情報の提供の依頼を含む。）をする場合には、内閣府令で定める場合を除き、あらかじめ、当該資金需要者等から書面又は電磁的方法による同意を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加入貸金業者は、資金需要者である個人の顧客を相手方とする貸付けに係る契約を締結し、当該貸付けに係る契約に係る個人信用情報を加入指定信用情報機関に提供した後、当該提供した個人信用情報に変更があった場合には、遅滞なく、その変更内容を当該指定信用情報機関に提供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加入貸金業者は、貸金業法第41条の36第3項及び貸金業法施行規則第30条の15（信用情報の提供等に係る配偶者の同意の取得等）第3項に規定する同意に関する記録を、当該同意に基づき指定信用情報機関が信用情報を保有している間保存しなければならない。</w:t>
      </w:r>
    </w:p>
    <w:p>
      <w:pPr>
        <w:spacing w:after="60" w:line="300"/>
      </w:pPr>
      <w:r>
        <w:rPr>
          <w:rFonts w:ascii="Meiryo" w:cs="Meiryo" w:eastAsia="Meiryo" w:hAnsi="Meiryo"/>
          <w:sz w:val="19"/>
          <w:szCs w:val="19"/>
        </w:rPr>
        <w:t xml:space="preserve">(注1)加入貸金業者とは、指定信用情報機関と信用情報提供契約を締結した相手方である貸金業者をいう。(注2)加入指定信用情報機関とは、加入貸金業者と信用情報提供契約を締結した指定信用情報機関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みなし利息に関する次の①～④の記述のうち、利息制限法上、その内容が適切でないものを1つだけ選び、解答欄にその番号をマークしなさい。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締結した営業的金銭消費貸借契約において、Ｂが金銭の受領又は弁済のために利用する現金自動支払機その他の機械の利用料として、10,000円の弁済を受ける際に110円（消費税額等相当額を含む。）をＢから受領した。この場合、当該利用料は、利息とみなさ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締結した営業的金銭消費貸借契約において、金銭の貸付け及び弁済に用いるためＢに交付したカードのＢの要請に基づく再発行の手数料（消費税額等相当額を含む。）をＢから受領した。この場合、当該手数料は、利息とみなさ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締結した営業的金銭消費貸借契約において、貸金業法第17条第1項に規定する契約締結時の書面をＢに交付した後、各回の返済期日及び返済金額の変更を行ったため、変更後の契約締結時の書面を作成しＢに再交付した費用（消費税額等相当額を含む。）をＢから受領した。この場合、当該費用は、利息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締結した営業的金銭消費貸借契約において、口座振替の方法による弁済につき、Ｂが弁済期に弁済できなかったため、Ｂの要請を受けて行った再度の口座振替手続に要した費用（消費税額等相当額を含む。）をＢから受領した。この場合、当該費用は、利息とみな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意思能力及び行為能力に関する次の①～④の記述のうち、民法上、その内容が適切なものを1つだけ選び、解答欄にその番号をマークしなさい。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成年被後見人の法律行為は、その成年後見人の同意を得て行われたときは、取り消すことができない。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制限行為能力者が行為能力者であることを信じさせるため詐術を用いたときは、当該制限行為能力者の法定代理人はその行為を取り消すことができるが、当該制限行為能力者は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未成年者は、一種又は数種の営業を許されたときは、これによって成年に達したものとみなされる。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法律行為の当事者が意思表示をした時に意思能力を有しなかったときは、その法律行為は、無効とする。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意思表示に関する次の①～④の記述のうち、民法上、その内容が適切なものを1つだけ選び、解答欄にその番号をマークしなさい。なお、本問における契約等は、2020年4月1日以降に行われているものとする。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実際には甲建物をＢに売却するつもりであるのに、誤って自己が所有する乙建物をＢに売却する旨の契約を締結した。この場合において、ＢがＡに錯誤があることを知っていたときは、Ａに重大な過失があったとしても、Ａは、錯誤による意思表示を理由として、当該契約を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第三者Ｃの詐欺により、Ｂとの間で、甲建物をＢに売却する旨の契約を締結した。この場合において、Ｂが、Ｃによる詐欺の事実を知らず、かつ、知ることができなかったとしても、Ａは、詐欺による意思表示を理由として、当該契約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の強迫により、Ｂとの間でＢに甲建物を売却する旨の売買契約を締結し、ＡからＢへの甲建物の所有権移転登記を経た後、Ｂは、この事情を知らず、かつ、知らないことに過失のない第三者Ｃに甲建物を売却した。その後、Ａは、強迫による意思表示を理由としてAB間の売買契約を取り消した。この場合、Ａは、その取消しを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実際には甲建物をＢに売却する意思がないのに、Ｂと通謀して、Ｂに甲建物を売却する旨の虚偽の売買契約を締結し、ＡからＢへの甲建物の所有権移転登記を経た。その後、Ｂは、この事情を知っている第三者Ｃに甲建物を売却した。この場合、Ａは、Ｃに対し、AB間の売買契約が虚偽表示により無効であることを主張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無効な行為は、当事者がその行為の無効であることを知って追認をしたときは、初めから有効であったものとみなされる。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は、制限行為能力者（他の制限行為能力者の法定代理人としてした行為にあっては、当該他の制限行為能力者を含む。）又はその代理人、承継人もしくは同意をすることができる者に限り、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制限行為能力を理由に法律行為が取り消された場合、当該法律行為は取消しがあった時から将来に向かって無効となる。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取消権は、追認をすることができる時から3年間行使しないときは、時効によって消滅する。行為の時から5年を経過したときも、同様である。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抵当権に関する次の①～④の記述のうち、民法上、その内容が適切なものを1つだけ選び、解答欄にその番号をマークしなさい。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土地に設定された抵当権の効力は、当該抵当権の目的である土地の上に存する建物及び当該土地に付加して一体となっている物に及ぶ。</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同一の不動産について数個の抵当権が設定されたときは、その抵当権の順位は、抵当権設定契約の締結日付の先後による。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抵当権者は、その抵当権を他の債権の担保とし、又は同一の債務者に対する他の債権者の利益のためにその抵当権もしくはその順位を譲渡し、もしくは放棄することができる。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抵当権は、債務者及び抵当権設定者に対し、その担保する債権とは別に、時効によって消滅する。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債権の目的及び効力に関する次の①～④の記述のうち、民法上、その内容が適切なものを1つだけ選び、解答欄にその番号をマークしなさい。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の不履行に対する損害賠償の請求は、これによって通常生ずべき損害の賠償をさせることをその目的とする。特別の事情によって生じた損害は、当事者がその事情を予見すべきであったときは、債権者は、その賠償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債務の履行について不確定期限があるときは、債務者は、その期限の到来したことを知り、かつ、債権者からその履行の請求を受けた時から遅滞の責任を負う。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債務の不履行又はこれによる損害の発生もしくは拡大に関して債権者に過失があったときでも、裁判所は、これを考慮して、損害賠償の責任及びその額を減免することはできない。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利息を生ずべき債権について別段の意思表示がないときは、その利率は、年5分となる。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との相殺に関する次の①～④の記述のうち、民法及び破産法上、その内容が適切なものを1つだけ選び、解答欄にその番号をマークしなさい。なお、甲債権及び乙債権は、2020年4月1日以降に生じた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甲債権の弁済期が10月15日であり、乙債権の弁済期が同年11月1日である場合、同年10月15日の時点においては、乙債権の弁済期が到来していないため、Ａは、甲債権と乙債権とを相殺することができない。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甲債権が時効によって消滅した後は、甲債権が時効により消滅する以前に、甲債権と乙債権とが相殺に適するようになっていたときであっても、Ａは、甲債権と乙債権とを相殺することができない。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に対して金銭債権を有するＣの申立てに基づき甲債権が差し押さえられ、その差押命令がＢに送達されていた場合において、Ｂが乙債権を当該差押命令の送達後に取得したときは、Ｂは、甲債権と乙債権との相殺をもってＣに対抗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破産債権者であり、Ｂが破産者である場合において、Ａが甲債権を破産手続開始前に取得し、Ｂが乙債権を破産手続開始前に取得していたときは、Ａは、破産手続によらないで、甲債権と乙債権とを相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被相続人の子が、民法第891条（相続人の欠格事由）の規定に該当したことにより相続人となることができなくなったときは、その者の子は、被相続人の直系卑属であっても、その者を代襲して相続人とな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被相続人の配偶者及び被相続人の兄弟姉妹が相続人である場合、当該兄弟姉妹の法定相続分は、3分の1である。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被相続人の配偶者のみが相続人となる場合、当該配偶者は、遺留分として、被相続人の財産の2分の1に相当する額を受ける。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相続人は、自己のために相続の開始があったことを知った時から6か月以内に、相続について、単純もしくは限定の承認又は放棄をしなければならない。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手形法及び電子記録債権法に関する次の①～④の記述のうち、その内容が適切なものを1つだけ選び、解答欄にその番号をマークしなさい。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強迫によって振り出された約束手形を裏書により譲り受けた所持人は、当該事情を知っていた。この場合、当該約束手形の振出人は、当該所持人から手形金の支払を請求されたときは、強迫を理由とする手形行為取消しの抗弁をもって、当該所持人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満期において手形金の支払がないときは、約束手形の所持人は、裏書人、振出人その他の債務者に対してその遡求権を行使することができるが、満期前においては、たとえ支払の全部又は一部の拒絶があっても、遡求権を行使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電子記録債権の譲渡は、当事者間の合意のみによってその効力を生じるが、譲渡記録をしなければ、これを第三者に対抗できない。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名義人に対してした電子記録債権についての支払は、当該電子記録名義人がその支払を受ける権利を有しない場合であっても、その効力を有する。ただし、その支払をした者に悪意又は重大な過失がある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犯罪による収益の移転防止に関する法律（以下、本問において「犯罪収益移転防止法」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株式会社（「外国に本店又は主たる事務所を有する法人」ではないものとする。）である顧客の取引時確認として確認しなければならない事項である事業の内容の確認方法には、当該取引時確認をする日前1年以内に作成された当該株式会社の設立の登記に係る登記事項証明書又はその写しを確認する方法が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取引時確認を行った場合には、直ちに、主務省令で定める方法により、当該取引時確認に係る事項、当該取引時確認のためにとった措置その他の主務省令で定める事項に関する記録（以下、本問において「確認記録」という。）を作成しなければならない。貸金業者は、確認記録を、特定取引等に係る契約が終了した日その他の主務省令で定める日から、3年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特定業務に係る取引を行った場合には、少額の取引その他の政令で定める取引を除き、直ちに、主務省令で定める方法により、顧客等の確認記録を検索するための事項、当該取引の期日及び内容その他の主務省令で定める事項に関する記録（以下、本問において「取引記録」という。）を作成し、取引記録を、当該取引の行われた日から7年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その役員及び使用人を含む。）は、犯罪収益移転防止法第8条第1項の規定による届出（以下、本問において「疑わしい取引の届出」という。）を行おうとすること又は行ったことを当該疑わしい取引の届出に係る顧客等又はその者の関係者に開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代理に関する次の①～④の記述のうち、民法上、その内容が適切でないものを1つだけ選び、解答欄にその番号をマークしなさい。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代理人がその権限内において本人のためにすることを示してした意思表示は、本人が事前にこれを承認し、又は事後にこれを追認しなければ、本人に対してその効力を生じない。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法定代理人は、自己の責任で復代理人を選任することができる。この場合において、やむを得ない事由があるときは、本人に対してその選任及び監督についての責任のみを負う。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代理権は、本人の死亡によって消滅する。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他人に代理権を与えた者は、代理権の消滅後にその代理権の範囲内においてその他人が第三者との間でした行為について、代理権の消滅の事実を知らなかった第三者に対してその責任を負う。ただし、第三者が過失によってその事実を知らなかった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時効に関する次の①～④の記述のうち、民法上、その内容が適切でないものを1つだけ選び、解答欄にその番号をマークしなさい。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裁判上の請求がなされた場合において、確定判決又は確定判決と同一の効力を有するものによって権利が確定したときは、時効は、裁判上の請求が終了した時から新たにその進行を始める。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強制執行が申し立てられた場合において、当該申立ての取下げ又は法律の規定に従わないことによる取消しによって強制執行が終了したときは、その終了の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仮差押えが申し立てられた場合、仮差押えは時効の更新事由に該当するため、時効は、仮差押えが終了した時から新たにその進行を始める。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債権者が権利を行使することができることを知った時から5年間行使しないとき、又は権利を行使することができる時から10年間行使しないときは、債権は、時効によって消滅する。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Ａは貸金業者、Ｂは個人事業主である借主、ＣはＢの子でありＢと共同して事業を行っていない保証人である。保証に関する次の①～④の記述のうち、民法上、その内容が適切でないものを1つだけ選び、解答欄にその番号をマークしなさい。なお、本問における契約等は、2020年4月1日以降に行わ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Ｂの事業資金を融資するに当たってＣとの間で保証契約を締結するに先立ち、Ｃの保証債務を履行する意思を表示するために作成しなければならない公正証書は、Ｂが主たる債務を履行しないときにＣがその全額について履行する意思を表示した文書をＣが作成し、公証人がその内容を認証して署名押印する方式に従って作成され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貸付契約を締結し、当該契約につきＣとの間で保証契約を締結した。ＢがＡに対して負う貸付金の返還債務について期限の利益を喪失した場合において、Ａは、Ｃに対し、その利益の喪失を知った時から2か月を超えてもその旨を通知しなかったときは、Ｂが期限の利益を喪失した時から当該通知を現にするまでに生じた遅延損害金（期限の利益を喪失しなかったとしても生ずべきものを除く。）に係る保証債務の履行を請求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Ｂの事業資金を融資する目的で極度方式基本契約を締結し、当該契約につき、Ｃとの間で個人根保証契約を締結しようとする場合、当該個人根保証契約の締結に先立ち、その締結の日前1か月以内に作成された公正証書でＣが保証債務を履行する意思を表示していなければ、当該個人根保証契約はその効力を生じ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Ｂとの間で、Ｂの事業資金を融資する目的で極度方式基本契約を締結し、当該契約に基づく不特定の債務を主たる債務とする根保証をＢがＣに委託するときは、Ｂは、Ｃに対し、「財産及び収支の状況」、「主たる債務以外に負担している債務の有無並びにその額及び履行状況」、「主たる債務の担保として他に提供し、又は提供しようとするものがあるときは、その旨及びその内容」に関する情報を提供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弁済に関する次の①～④の記述のうち、民法上、その内容が適切でないものを1つだけ選び、解答欄にその番号をマークしなさい。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債務者が債権者に対して債務の弁済をしたときは、その債権は、消滅する。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弁済をするについて正当な利益を有する者でない第三者は、債権者及び債務者のいずれの意思にも反しない場合であっても、弁済をすることはできない。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弁済をすべき場所について別段の意思表示がないときは、特定物の引渡しは債権発生の時にその物が存在した場所において、その他の弁済は債権者の現在の住所において、それぞれしなければならない。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債務者は、弁済の提供の時から、債務を履行しないことによって生ずべき責任を免れる。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消費貸借契約に関する次の①～④の記述のうち、民法上、その内容が適切でないものを1つだけ選び、解答欄にその番号をマークしなさい。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借主は、返還の時期の定めの有無にかかわらず、いつでも返還をすることができる。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書面でする消費貸借の借主は、貸主から金銭その他の物を受け取るまで、契約の解除をすることができる。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金銭その他の物を給付する義務を負う者がある場合において、当事者がその物を消費貸借の目的とすることを約したときは、消費貸借は、これによって成立したものとみなされる。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貸主は、特約の有無にかかわらず、借主に対して法定利息を請求することができる。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次の①～④の記述のうち、民法上、その内容が適切でないものを1つだけ選び、解答欄にその番号をマークしなさい。なお、本問において、「改正前民法」とは平成29年法律第44号により改正される前の民法をいい、「改正民法」とは同法により改正された後の民法をいう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2020年3月1日に、Ｂとの間で、金銭消費貸借契約を締結しＢに10万円を貸し付けた。この場合、ＡのＢに対する貸付金債権の消滅時効の期間については、改正前民法が適用され、当該債権は、10年間行使しないときは、時効によって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2020年3月1日に、Ｂとの間で、債権の譲渡を禁止する旨の特約を付した金銭消費貸借契約を締結しＢに10万円を貸し付けた。その後、Ａは、2020年5月1日に、Ｃとの間で、ＡのＢに対する貸付金債権を譲渡した。この場合、ＡのＣに対する債権の譲渡については、改正前民法が適用され、ＡとＣとの間の債権譲渡契約は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2020年3月1日に、Ｂとの間で、定型取引(注)に係る契約を締結した。この場合において、2020年3月31日以前に、Ａ又はＢが書面又は電磁的記録により反対の意思を表示していないときは、当該契約については、改正民法が適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2010年5月1日に、Ｂとの間で、金銭消費貸借契約を締結しＢに10万円を貸し付けた。ＢがＡに借入金を返済していない場合において、2020年4月15日に天災その他避けることのできない事変が生じた。この場合、天災等による時効の完成猶予については、改正民法が適用され、その障害が消滅した時から3か月を経過するまでの間は、時効は、完成しない。</w:t>
      </w:r>
    </w:p>
    <w:p>
      <w:pPr>
        <w:spacing w:after="60" w:line="300"/>
      </w:pPr>
      <w:r>
        <w:rPr>
          <w:rFonts w:ascii="Meiryo" w:cs="Meiryo" w:eastAsia="Meiryo" w:hAnsi="Meiryo"/>
          <w:sz w:val="19"/>
          <w:szCs w:val="19"/>
        </w:rPr>
        <w:t xml:space="preserve">(注) 定型取引とは、改正民法第548条の2（定型約款の合意）第1項に規定する定型取引（ある特定の者が不特定多数の者を相手方として行う取引であって、その内容の全部又は一部が画一的であることがその双方にとって合理的なもの）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情報を取り扱うに当たっては、その利用の目的（以下、本問において「利用目的」という。）をできる限り特定しなければならない。例えば、「マーケティング活動に用いるため」という記載は、具体的に利用目的を特定している事例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あらかじめ本人の同意を得ないで、個人情報の保護に関する法律第15条の規定により特定された利用目的の達成に必要な範囲を超えて、個人情報を取り扱ってはならない。なお、当該同意を得るために個人情報を利用することは、当初特定した利用目的としてその旨が記載されていない場合には、目的外利用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あらかじめその利用目的を公表していない場合であっても、インターネット上で本人が自発的に公にしている個人情報を取得したときは、その利用目的を、本人に通知し、又は公表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例えば、アンケートに記載された個人情報を直接本人から取得する場合等、本人から直接書面に記載された当該本人の個人情報を取得する場合は、あらかじめ、本人に対し、その利用目的を明示しなければならない。ただし、人の生命、身体又は財産の保護のために緊急に必要がある場合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消費者契約法の適用がある取引については、消費者には、消費者契約法に基づき、契約の申込み又は契約の締結後一定の期間内であれば、無条件に当該契約の申込みを撤回し又は当該契約を解除することができる権利であるクーリング・オフを行使する権利が認めら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勧誘をするに際し、勧誘をしている場所から退去する旨の意思を消費者が示したにもかかわらず、当該消費者を退去させないなど、消費者を困惑させることにより当該消費者契約を締結した場合、消費者契約法第2条（定義）第4項に規定する適格消費者団体には、当該消費者契約についての取消権が認めら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消費者契約法に基づき消費者に認められる取消権は、追認をすることができる時から1年間行わないときは、時効によって消滅する。当該消費者契約の締結の時から5年を経過したときも、同様とする。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当該条項そのものを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日本貸金業協会が定める貸金業の業務運営に関する自主規制基本規則に規定する「広告及び勧誘に関する規制」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協会員は、債務者等に対して貸付けの契約に係る勧誘を行うに際しては、例えば、店頭窓口において口頭での承諾の事実を確認し、当該承諾に係る記録を作成及び保管する方法により、当該債務者等から当該勧誘を行うことについての承諾を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協会員は、勧誘リスト等を作成するにあたっては、当該勧誘リストに指定信用情報機関の信用情報を記載し、勧誘対象者に対する過剰貸付けの防止に努めなければならない。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協会員は、ギャンブル専門紙及びギャンブル専門誌へ個人向け貸付けの契約に係る広告を出稿するにあたっては、安易な借入れを助長する表現、又はその疑いのある表現を排除することに留意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新聞、雑誌又は電話帳へ個人向け貸付けの契約に係る広告を出稿するにあたって、比較広告を行う場合には、求めに応じてその裏付けとなる根拠を説明することができる態勢を整備するとともに、その説明に必要となる資料等を作成し、保管するといった適切な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内閣総理大臣が指定す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景品表示法第4条（景品類の制限及び禁止）の規定による制限もしくは禁止又は同法第5条（不当な表示の禁止）の規定に違反する行為があるときは、当該事業者に対し、その行為の差止めもしくはその行為が再び行われることを防止するために必要な事項又はこれらの実施に関連する公示その他必要な事項を命ずることができる。ただし、その命令は、当該違反行為が既になくなっている場合には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景品表示法第7条（措置命令）第1項の規定による命令に関し、事業者がした表示が同法第5条（不当な表示の禁止）第1号に該当する表示（以下、本問において「優良誤認表示」という。）か否かを判断するため必要があると認めるときは、当該表示をした事業者に対し、期間を定めて、当該表示の裏付けとなる合理的な根拠を示す資料の提出を求めることができる。この場合において、当該事業者が当該資料を提出しないときは、同法第7条第1項の規定の適用については、当該表示は優良誤認表示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内閣総理大臣は、事業者が正当な理由がなくて景品表示法第26条（事業者が講ずべき景品類の提供及び表示の管理上の措置）第1項の規定に基づき事業者が講ずべき措置を講じていないと認めるときは、当該事業者に対し、景品類の提供又は表示の管理上必要な措置を講ずべき旨の勧告をすることができる。内閣総理大臣は、当該勧告を行った場合において当該事業者がその勧告に従わないときは、その旨を公表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契約者等(注1)による紛争解決手続開始の申立てが受理され、相手方に対してその旨の通知がなされた場合、当該通知を受けた協会員等(注2)は、正当な理由がある場合を除き、紛争解決手続に応じ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紛争解決委員は、当事者もしくは参考人から意見を聴取し、もしくは文書もしくは口頭による報告を求め、又は当事者から参考となるべき帳簿書類その他の物件の提出もしくは提示を求めることができる。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紛争解決委員は、申立てに係る紛争の解決に必要な和解案を作成し、当事者に対し提示して、その受諾を勧告することができる。当事者双方が紛争解決委員の和解案を受諾したときは、裁判所に届け出ることにより、当該和解案の内容で和解が成立したもの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紛争解決委員は、和解案の受諾の勧告によっては当事者間に和解が成立する見込みがない場合において、事案の性質、当事者の意向、当事者の手続追行の状況その他の事情に照らして相当であると認めるときは、貸金業務関連紛争の解決のために必要な特別調停案を作成し、理由を付して当事者に提示することができる。</w:t>
      </w:r>
    </w:p>
    <w:p>
      <w:pPr>
        <w:spacing w:after="60" w:line="300"/>
      </w:pPr>
      <w:r>
        <w:rPr>
          <w:rFonts w:ascii="Meiryo" w:cs="Meiryo" w:eastAsia="Meiryo" w:hAnsi="Meiryo"/>
          <w:sz w:val="19"/>
          <w:szCs w:val="19"/>
        </w:rPr>
        <w:t xml:space="preserve">(注1)契約者等とは、顧客等、債務者等もしくは債務者等であったもの又はその一般承継人をいう。(注2)協会員等とは、日本貸金業協会の会員及び日本貸金業協会と手続実施基本契約を締結した貸金業者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損益計算書に関する次の図表の空欄ａ～ｃに当てはまる語句の組み合わせとして適切なものを、次の①～④の中から1つだけ選び、解答欄にその番号をマークしなさい。</w:t>
      </w:r>
    </w:p>
    <w:p>
      <w:pPr>
        <w:spacing w:after="40" w:line="300"/>
      </w:pPr>
      <w:r>
        <w:rPr>
          <w:rFonts w:ascii="Meiryo" w:cs="Meiryo" w:eastAsia="Meiryo" w:hAnsi="Meiryo"/>
          <w:b/>
          <w:bCs/>
          <w:sz w:val="21"/>
          <w:szCs w:val="21"/>
        </w:rPr>
        <w:t xml:space="preserve">損益計算書</w:t>
      </w:r>
    </w:p>
    <w:p>
      <w:pPr>
        <w:spacing w:after="60" w:line="300"/>
      </w:pPr>
      <w:r>
        <w:rPr>
          <w:rFonts w:ascii="Meiryo" w:cs="Meiryo" w:eastAsia="Meiryo" w:hAnsi="Meiryo"/>
          <w:sz w:val="19"/>
          <w:szCs w:val="19"/>
        </w:rPr>
        <w:t xml:space="preserve">自平成31年4月1日 至令和2年3月31日（単位：百万円）</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400"/>
        <w:gridCol w:w="2200"/>
      </w:tblGrid>
      <w:tr>
        <w:tc>
          <w:tcPr>
            <w:tcW w:type="dxa" w:w="5400"/>
            <w:shd w:fill="E5F1E9" w:val="clear"/>
          </w:tcPr>
          <w:p>
            <w:pPr>
              <w:spacing w:after="20" w:line="260"/>
              <w:jc w:val="left"/>
            </w:pPr>
            <w:r>
              <w:rPr>
                <w:rFonts w:ascii="Meiryo" w:cs="Meiryo" w:eastAsia="Meiryo" w:hAnsi="Meiryo"/>
                <w:b/>
                <w:bCs/>
                <w:sz w:val="21"/>
                <w:szCs w:val="21"/>
              </w:rPr>
              <w:t xml:space="preserve">科目</w:t>
            </w:r>
          </w:p>
        </w:tc>
        <w:tc>
          <w:tcPr>
            <w:tcW w:type="dxa" w:w="2200"/>
            <w:shd w:fill="E5F1E9" w:val="clear"/>
          </w:tcPr>
          <w:p>
            <w:pPr>
              <w:spacing w:after="20" w:line="260"/>
              <w:jc w:val="right"/>
            </w:pPr>
            <w:r>
              <w:rPr>
                <w:rFonts w:ascii="Meiryo" w:cs="Meiryo" w:eastAsia="Meiryo" w:hAnsi="Meiryo"/>
                <w:b/>
                <w:bCs/>
                <w:sz w:val="21"/>
                <w:szCs w:val="21"/>
              </w:rPr>
              <w:t xml:space="preserve">金額</w:t>
            </w:r>
          </w:p>
        </w:tc>
      </w:tr>
      <w:tr>
        <w:tc>
          <w:tcPr>
            <w:tcW w:type="dxa" w:w="5400"/>
          </w:tcPr>
          <w:p>
            <w:pPr>
              <w:spacing w:after="20" w:line="260"/>
              <w:jc w:val="left"/>
            </w:pPr>
            <w:r>
              <w:rPr>
                <w:rFonts w:ascii="Meiryo" w:cs="Meiryo" w:eastAsia="Meiryo" w:hAnsi="Meiryo"/>
                <w:b w:val="false"/>
                <w:bCs w:val="false"/>
                <w:sz w:val="21"/>
                <w:szCs w:val="21"/>
              </w:rPr>
              <w:t xml:space="preserve">売上高</w:t>
            </w:r>
          </w:p>
        </w:tc>
        <w:tc>
          <w:tcPr>
            <w:tcW w:type="dxa" w:w="2200"/>
          </w:tcPr>
          <w:p>
            <w:pPr>
              <w:spacing w:after="20" w:line="260"/>
              <w:jc w:val="right"/>
            </w:pPr>
            <w:r>
              <w:rPr>
                <w:rFonts w:ascii="Meiryo" w:cs="Meiryo" w:eastAsia="Meiryo" w:hAnsi="Meiryo"/>
                <w:b w:val="false"/>
                <w:bCs w:val="false"/>
                <w:sz w:val="21"/>
                <w:szCs w:val="21"/>
              </w:rPr>
              <w:t xml:space="preserve">3,850</w:t>
            </w:r>
          </w:p>
        </w:tc>
      </w:tr>
      <w:tr>
        <w:tc>
          <w:tcPr>
            <w:tcW w:type="dxa" w:w="5400"/>
          </w:tcPr>
          <w:p>
            <w:pPr>
              <w:spacing w:after="20" w:line="260"/>
              <w:jc w:val="left"/>
            </w:pPr>
            <w:r>
              <w:rPr>
                <w:rFonts w:ascii="Meiryo" w:cs="Meiryo" w:eastAsia="Meiryo" w:hAnsi="Meiryo"/>
                <w:b w:val="false"/>
                <w:bCs w:val="false"/>
                <w:sz w:val="21"/>
                <w:szCs w:val="21"/>
              </w:rPr>
              <w:t xml:space="preserve">売上原価</w:t>
            </w:r>
          </w:p>
        </w:tc>
        <w:tc>
          <w:tcPr>
            <w:tcW w:type="dxa" w:w="2200"/>
          </w:tcPr>
          <w:p>
            <w:pPr>
              <w:spacing w:after="20" w:line="260"/>
              <w:jc w:val="right"/>
            </w:pPr>
            <w:r>
              <w:rPr>
                <w:rFonts w:ascii="Meiryo" w:cs="Meiryo" w:eastAsia="Meiryo" w:hAnsi="Meiryo"/>
                <w:b w:val="false"/>
                <w:bCs w:val="false"/>
                <w:sz w:val="21"/>
                <w:szCs w:val="21"/>
              </w:rPr>
              <w:t xml:space="preserve">2,950</w:t>
            </w:r>
          </w:p>
        </w:tc>
      </w:tr>
      <w:tr>
        <w:tc>
          <w:tcPr>
            <w:tcW w:type="dxa" w:w="5400"/>
          </w:tcPr>
          <w:p>
            <w:pPr>
              <w:spacing w:after="20" w:line="260"/>
              <w:jc w:val="left"/>
            </w:pPr>
            <w:r>
              <w:rPr>
                <w:rFonts w:ascii="Meiryo" w:cs="Meiryo" w:eastAsia="Meiryo" w:hAnsi="Meiryo"/>
                <w:b w:val="false"/>
                <w:bCs w:val="false"/>
                <w:sz w:val="21"/>
                <w:szCs w:val="21"/>
              </w:rPr>
              <w:t xml:space="preserve">（ａ）</w:t>
            </w:r>
          </w:p>
        </w:tc>
        <w:tc>
          <w:tcPr>
            <w:tcW w:type="dxa" w:w="2200"/>
          </w:tcPr>
          <w:p>
            <w:pPr>
              <w:spacing w:after="20" w:line="260"/>
              <w:jc w:val="right"/>
            </w:pPr>
            <w:r>
              <w:rPr>
                <w:rFonts w:ascii="Meiryo" w:cs="Meiryo" w:eastAsia="Meiryo" w:hAnsi="Meiryo"/>
                <w:b w:val="false"/>
                <w:bCs w:val="false"/>
                <w:sz w:val="21"/>
                <w:szCs w:val="21"/>
              </w:rPr>
              <w:t xml:space="preserve">900</w:t>
            </w:r>
          </w:p>
        </w:tc>
      </w:tr>
      <w:tr>
        <w:tc>
          <w:tcPr>
            <w:tcW w:type="dxa" w:w="5400"/>
          </w:tcPr>
          <w:p>
            <w:pPr>
              <w:spacing w:after="20" w:line="260"/>
              <w:jc w:val="left"/>
            </w:pPr>
            <w:r>
              <w:rPr>
                <w:rFonts w:ascii="Meiryo" w:cs="Meiryo" w:eastAsia="Meiryo" w:hAnsi="Meiryo"/>
                <w:b w:val="false"/>
                <w:bCs w:val="false"/>
                <w:sz w:val="21"/>
                <w:szCs w:val="21"/>
              </w:rPr>
              <w:t xml:space="preserve">販売費及び一般管理費</w:t>
            </w:r>
          </w:p>
        </w:tc>
        <w:tc>
          <w:tcPr>
            <w:tcW w:type="dxa" w:w="2200"/>
          </w:tcPr>
          <w:p>
            <w:pPr>
              <w:spacing w:after="20" w:line="260"/>
              <w:jc w:val="right"/>
            </w:pPr>
            <w:r>
              <w:rPr>
                <w:rFonts w:ascii="Meiryo" w:cs="Meiryo" w:eastAsia="Meiryo" w:hAnsi="Meiryo"/>
                <w:b w:val="false"/>
                <w:bCs w:val="false"/>
                <w:sz w:val="21"/>
                <w:szCs w:val="21"/>
              </w:rPr>
              <w:t xml:space="preserve">730</w:t>
            </w:r>
          </w:p>
        </w:tc>
      </w:tr>
      <w:tr>
        <w:tc>
          <w:tcPr>
            <w:tcW w:type="dxa" w:w="5400"/>
          </w:tcPr>
          <w:p>
            <w:pPr>
              <w:spacing w:after="20" w:line="260"/>
              <w:jc w:val="left"/>
            </w:pPr>
            <w:r>
              <w:rPr>
                <w:rFonts w:ascii="Meiryo" w:cs="Meiryo" w:eastAsia="Meiryo" w:hAnsi="Meiryo"/>
                <w:b w:val="false"/>
                <w:bCs w:val="false"/>
                <w:sz w:val="21"/>
                <w:szCs w:val="21"/>
              </w:rPr>
              <w:t xml:space="preserve">（ｂ）</w:t>
            </w:r>
          </w:p>
        </w:tc>
        <w:tc>
          <w:tcPr>
            <w:tcW w:type="dxa" w:w="2200"/>
          </w:tcPr>
          <w:p>
            <w:pPr>
              <w:spacing w:after="20" w:line="260"/>
              <w:jc w:val="right"/>
            </w:pPr>
            <w:r>
              <w:rPr>
                <w:rFonts w:ascii="Meiryo" w:cs="Meiryo" w:eastAsia="Meiryo" w:hAnsi="Meiryo"/>
                <w:b w:val="false"/>
                <w:bCs w:val="false"/>
                <w:sz w:val="21"/>
                <w:szCs w:val="21"/>
              </w:rPr>
              <w:t xml:space="preserve">170</w:t>
            </w:r>
          </w:p>
        </w:tc>
      </w:tr>
      <w:tr>
        <w:tc>
          <w:tcPr>
            <w:tcW w:type="dxa" w:w="5400"/>
          </w:tcPr>
          <w:p>
            <w:pPr>
              <w:spacing w:after="20" w:line="260"/>
              <w:jc w:val="left"/>
            </w:pPr>
            <w:r>
              <w:rPr>
                <w:rFonts w:ascii="Meiryo" w:cs="Meiryo" w:eastAsia="Meiryo" w:hAnsi="Meiryo"/>
                <w:b w:val="false"/>
                <w:bCs w:val="false"/>
                <w:sz w:val="21"/>
                <w:szCs w:val="21"/>
              </w:rPr>
              <w:t xml:space="preserve">営業外費用</w:t>
            </w:r>
          </w:p>
        </w:tc>
        <w:tc>
          <w:tcPr>
            <w:tcW w:type="dxa" w:w="2200"/>
          </w:tcPr>
          <w:p>
            <w:pPr>
              <w:spacing w:after="20" w:line="260"/>
              <w:jc w:val="right"/>
            </w:pPr>
            <w:r>
              <w:rPr>
                <w:rFonts w:ascii="Meiryo" w:cs="Meiryo" w:eastAsia="Meiryo" w:hAnsi="Meiryo"/>
                <w:b w:val="false"/>
                <w:bCs w:val="false"/>
                <w:sz w:val="21"/>
                <w:szCs w:val="21"/>
              </w:rPr>
              <w:t xml:space="preserve">20</w:t>
            </w:r>
          </w:p>
        </w:tc>
      </w:tr>
      <w:tr>
        <w:tc>
          <w:tcPr>
            <w:tcW w:type="dxa" w:w="5400"/>
          </w:tcPr>
          <w:p>
            <w:pPr>
              <w:spacing w:after="20" w:line="260"/>
              <w:jc w:val="left"/>
            </w:pPr>
            <w:r>
              <w:rPr>
                <w:rFonts w:ascii="Meiryo" w:cs="Meiryo" w:eastAsia="Meiryo" w:hAnsi="Meiryo"/>
                <w:b w:val="false"/>
                <w:bCs w:val="false"/>
                <w:sz w:val="21"/>
                <w:szCs w:val="21"/>
              </w:rPr>
              <w:t xml:space="preserve">営業外収益</w:t>
            </w:r>
          </w:p>
        </w:tc>
        <w:tc>
          <w:tcPr>
            <w:tcW w:type="dxa" w:w="2200"/>
          </w:tcPr>
          <w:p>
            <w:pPr>
              <w:spacing w:after="20" w:line="260"/>
              <w:jc w:val="right"/>
            </w:pPr>
            <w:r>
              <w:rPr>
                <w:rFonts w:ascii="Meiryo" w:cs="Meiryo" w:eastAsia="Meiryo" w:hAnsi="Meiryo"/>
                <w:b w:val="false"/>
                <w:bCs w:val="false"/>
                <w:sz w:val="21"/>
                <w:szCs w:val="21"/>
              </w:rPr>
              <w:t xml:space="preserve">3</w:t>
            </w:r>
          </w:p>
        </w:tc>
      </w:tr>
      <w:tr>
        <w:tc>
          <w:tcPr>
            <w:tcW w:type="dxa" w:w="5400"/>
          </w:tcPr>
          <w:p>
            <w:pPr>
              <w:spacing w:after="20" w:line="260"/>
              <w:jc w:val="left"/>
            </w:pPr>
            <w:r>
              <w:rPr>
                <w:rFonts w:ascii="Meiryo" w:cs="Meiryo" w:eastAsia="Meiryo" w:hAnsi="Meiryo"/>
                <w:b w:val="false"/>
                <w:bCs w:val="false"/>
                <w:sz w:val="21"/>
                <w:szCs w:val="21"/>
              </w:rPr>
              <w:t xml:space="preserve">（ｃ）</w:t>
            </w:r>
          </w:p>
        </w:tc>
        <w:tc>
          <w:tcPr>
            <w:tcW w:type="dxa" w:w="2200"/>
          </w:tcPr>
          <w:p>
            <w:pPr>
              <w:spacing w:after="20" w:line="260"/>
              <w:jc w:val="right"/>
            </w:pPr>
            <w:r>
              <w:rPr>
                <w:rFonts w:ascii="Meiryo" w:cs="Meiryo" w:eastAsia="Meiryo" w:hAnsi="Meiryo"/>
                <w:b w:val="false"/>
                <w:bCs w:val="false"/>
                <w:sz w:val="21"/>
                <w:szCs w:val="21"/>
              </w:rPr>
              <w:t xml:space="preserve">153</w:t>
            </w:r>
          </w:p>
        </w:tc>
      </w:tr>
      <w:tr>
        <w:tc>
          <w:tcPr>
            <w:tcW w:type="dxa" w:w="5400"/>
          </w:tcPr>
          <w:p>
            <w:pPr>
              <w:spacing w:after="20" w:line="260"/>
              <w:jc w:val="left"/>
            </w:pPr>
            <w:r>
              <w:rPr>
                <w:rFonts w:ascii="Meiryo" w:cs="Meiryo" w:eastAsia="Meiryo" w:hAnsi="Meiryo"/>
                <w:b w:val="false"/>
                <w:bCs w:val="false"/>
                <w:sz w:val="21"/>
                <w:szCs w:val="21"/>
              </w:rPr>
              <w:t xml:space="preserve">特別利益</w:t>
            </w:r>
          </w:p>
        </w:tc>
        <w:tc>
          <w:tcPr>
            <w:tcW w:type="dxa" w:w="2200"/>
          </w:tcPr>
          <w:p>
            <w:pPr>
              <w:spacing w:after="20" w:line="260"/>
              <w:jc w:val="right"/>
            </w:pPr>
            <w:r>
              <w:rPr>
                <w:rFonts w:ascii="Meiryo" w:cs="Meiryo" w:eastAsia="Meiryo" w:hAnsi="Meiryo"/>
                <w:b w:val="false"/>
                <w:bCs w:val="false"/>
                <w:sz w:val="21"/>
                <w:szCs w:val="21"/>
              </w:rPr>
              <w:t xml:space="preserve">0</w:t>
            </w:r>
          </w:p>
        </w:tc>
      </w:tr>
      <w:tr>
        <w:tc>
          <w:tcPr>
            <w:tcW w:type="dxa" w:w="5400"/>
          </w:tcPr>
          <w:p>
            <w:pPr>
              <w:spacing w:after="20" w:line="260"/>
              <w:jc w:val="left"/>
            </w:pPr>
            <w:r>
              <w:rPr>
                <w:rFonts w:ascii="Meiryo" w:cs="Meiryo" w:eastAsia="Meiryo" w:hAnsi="Meiryo"/>
                <w:b w:val="false"/>
                <w:bCs w:val="false"/>
                <w:sz w:val="21"/>
                <w:szCs w:val="21"/>
              </w:rPr>
              <w:t xml:space="preserve">特別損失</w:t>
            </w:r>
          </w:p>
        </w:tc>
        <w:tc>
          <w:tcPr>
            <w:tcW w:type="dxa" w:w="2200"/>
          </w:tcPr>
          <w:p>
            <w:pPr>
              <w:spacing w:after="20" w:line="260"/>
              <w:jc w:val="right"/>
            </w:pPr>
            <w:r>
              <w:rPr>
                <w:rFonts w:ascii="Meiryo" w:cs="Meiryo" w:eastAsia="Meiryo" w:hAnsi="Meiryo"/>
                <w:b w:val="false"/>
                <w:bCs w:val="false"/>
                <w:sz w:val="21"/>
                <w:szCs w:val="21"/>
              </w:rPr>
              <w:t xml:space="preserve">1</w:t>
            </w:r>
          </w:p>
        </w:tc>
      </w:tr>
      <w:tr>
        <w:tc>
          <w:tcPr>
            <w:tcW w:type="dxa" w:w="5400"/>
          </w:tcPr>
          <w:p>
            <w:pPr>
              <w:spacing w:after="20" w:line="260"/>
              <w:jc w:val="left"/>
            </w:pPr>
            <w:r>
              <w:rPr>
                <w:rFonts w:ascii="Meiryo" w:cs="Meiryo" w:eastAsia="Meiryo" w:hAnsi="Meiryo"/>
                <w:b w:val="false"/>
                <w:bCs w:val="false"/>
                <w:sz w:val="21"/>
                <w:szCs w:val="21"/>
              </w:rPr>
              <w:t xml:space="preserve">税引前当期純利益</w:t>
            </w:r>
          </w:p>
        </w:tc>
        <w:tc>
          <w:tcPr>
            <w:tcW w:type="dxa" w:w="2200"/>
          </w:tcPr>
          <w:p>
            <w:pPr>
              <w:spacing w:after="20" w:line="260"/>
              <w:jc w:val="right"/>
            </w:pPr>
            <w:r>
              <w:rPr>
                <w:rFonts w:ascii="Meiryo" w:cs="Meiryo" w:eastAsia="Meiryo" w:hAnsi="Meiryo"/>
                <w:b w:val="false"/>
                <w:bCs w:val="false"/>
                <w:sz w:val="21"/>
                <w:szCs w:val="21"/>
              </w:rPr>
              <w:t xml:space="preserve">152</w:t>
            </w:r>
          </w:p>
        </w:tc>
      </w:tr>
      <w:tr>
        <w:tc>
          <w:tcPr>
            <w:tcW w:type="dxa" w:w="5400"/>
          </w:tcPr>
          <w:p>
            <w:pPr>
              <w:spacing w:after="20" w:line="260"/>
              <w:jc w:val="left"/>
            </w:pPr>
            <w:r>
              <w:rPr>
                <w:rFonts w:ascii="Meiryo" w:cs="Meiryo" w:eastAsia="Meiryo" w:hAnsi="Meiryo"/>
                <w:b w:val="false"/>
                <w:bCs w:val="false"/>
                <w:sz w:val="21"/>
                <w:szCs w:val="21"/>
              </w:rPr>
              <w:t xml:space="preserve">法人税等</w:t>
            </w:r>
          </w:p>
        </w:tc>
        <w:tc>
          <w:tcPr>
            <w:tcW w:type="dxa" w:w="2200"/>
          </w:tcPr>
          <w:p>
            <w:pPr>
              <w:spacing w:after="20" w:line="260"/>
              <w:jc w:val="right"/>
            </w:pPr>
            <w:r>
              <w:rPr>
                <w:rFonts w:ascii="Meiryo" w:cs="Meiryo" w:eastAsia="Meiryo" w:hAnsi="Meiryo"/>
                <w:b w:val="false"/>
                <w:bCs w:val="false"/>
                <w:sz w:val="21"/>
                <w:szCs w:val="21"/>
              </w:rPr>
              <w:t xml:space="preserve">80</w:t>
            </w:r>
          </w:p>
        </w:tc>
      </w:tr>
      <w:tr>
        <w:tc>
          <w:tcPr>
            <w:tcW w:type="dxa" w:w="5400"/>
          </w:tcPr>
          <w:p>
            <w:pPr>
              <w:spacing w:after="20" w:line="260"/>
              <w:jc w:val="left"/>
            </w:pPr>
            <w:r>
              <w:rPr>
                <w:rFonts w:ascii="Meiryo" w:cs="Meiryo" w:eastAsia="Meiryo" w:hAnsi="Meiryo"/>
                <w:b w:val="false"/>
                <w:bCs w:val="false"/>
                <w:sz w:val="21"/>
                <w:szCs w:val="21"/>
              </w:rPr>
              <w:t xml:space="preserve">当期純利益</w:t>
            </w:r>
          </w:p>
        </w:tc>
        <w:tc>
          <w:tcPr>
            <w:tcW w:type="dxa" w:w="2200"/>
          </w:tcPr>
          <w:p>
            <w:pPr>
              <w:spacing w:after="20" w:line="260"/>
              <w:jc w:val="right"/>
            </w:pPr>
            <w:r>
              <w:rPr>
                <w:rFonts w:ascii="Meiryo" w:cs="Meiryo" w:eastAsia="Meiryo" w:hAnsi="Meiryo"/>
                <w:b w:val="false"/>
                <w:bCs w:val="false"/>
                <w:sz w:val="21"/>
                <w:szCs w:val="21"/>
              </w:rPr>
              <w:t xml:space="preserve">72</w:t>
            </w:r>
          </w:p>
        </w:tc>
      </w:tr>
    </w:tbl>
    <w:p>
      <w:pPr>
        <w:spacing w:after="60" w:line="300"/>
      </w:pPr>
      <w:r>
        <w:rPr>
          <w:rFonts w:ascii="Meiryo" w:cs="Meiryo" w:eastAsia="Meiryo" w:hAnsi="Meiryo"/>
          <w:sz w:val="21"/>
          <w:szCs w:val="21"/>
        </w:rPr>
        <w:t xml:space="preserve"/>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ａ-売上総利益 ｂ-営業利益 ｃ-経常利益</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ａ-経常利益 ｂ-営業利益 ｃ-売上総利益</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ａ-売上総利益 ｂ-粗利益 ｃ-経常利益</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ａ-粗利益 ｂ-売上総利益 ｃ-営業利益</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企業会計は、企業の財政状態及び経営成績に関して、真実な報告を提供するものでなければならない。これを一般に真実性の原則という。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企業会計は、財務諸表によって、利害関係者に対し必要な会計事実を明瞭に表示し、企業の状況に関する判断を誤らせないようにしなければならない。これを一般に明瞭性の原則という。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企業の財政状態に影響を及ぼす多額の取引については、その取引の内容をできる限り詳細かつ堅実に注記しなければならない。これを一般に堅実性の原則という。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主総会提出のため、信用目的のため、租税目的のため等種々の目的のために異なる形式の財務諸表を作成する必要がある場合、それらの内容は、信頼し得る会計記録に基づいて作成されたものであって、政策の考慮のために事実の真実な表示をゆがめてはならない。これを一般に単一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会社計算規則に規定する貸借対照表等(注)に関する次の①～④の記述のうち、その内容が適切でないものを1つだけ選び、解答欄にその番号をマークしなさい。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固定資産に係る項目は、有形固定資産、無形固定資産及び投資その他の資産に区分しなければならない。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資産の部は、流動資産、固定資産及び金融資産に区分しなければならない。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長期借入金は、固定負債に属するものとされている。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未払費用は、流動負債に属するものとされている。</w:t>
      </w:r>
    </w:p>
    <w:p>
      <w:pPr>
        <w:spacing w:after="60" w:line="300"/>
      </w:pPr>
      <w:r>
        <w:rPr>
          <w:rFonts w:ascii="Meiryo" w:cs="Meiryo" w:eastAsia="Meiryo" w:hAnsi="Meiryo"/>
          <w:sz w:val="19"/>
          <w:szCs w:val="19"/>
        </w:rPr>
        <w:t xml:space="preserve">(注) 貸借対照表等とは、貸借対照表及び連結貸借対照表をいう。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貸金業法第4条（登録の申請）</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　貸金業法第6条（登録の拒否）</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貸金業法第12条の3（貸金業務取扱主任者の設置）</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貸金業法第12条の6（禁止行為）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貸金業法第12条の8（利息、保証料等に係る制限等）　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貸金業法施行規則第1条の2の3（個人信用情報の対象とならない契約）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貸付条件等の掲示・標識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貸金業法第14条（貸付条件等の掲示）　貸金業法第12条の8（利息、保証料等に係る制限等）</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犯罪収益移転防止・反社会的勢力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保証・連帯債務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　貸金業法施行規則第12条の2（契約締結前の書面の交付）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貸金業法施行規則第10条の21（個人過剰貸付契約から除かれる契約）　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貸金業法第24条の6の10（報告徴収及び立入検査）　貸金業法第24条の6の3（業務改善命令）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　貸金業法施行規則第30条の15（信用情報の提供等に係る配偶者の同意の取得等）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民法第891条（相続人の欠格事由）</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消費者契約法第2条（定義）</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景品表示法第5条（不当な表示の禁止）　景品表示法第7条（措置命令）　景品表示法第4条（景品類の制限及び禁止）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貸借対照表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令和2年度 第15回 貸金業務取扱主任者資格試験</dc:title>
  <dc:creator>貸金業務取扱主任者 過去問1000</dc:creator>
  <cp:lastModifiedBy>Un-named</cp:lastModifiedBy>
  <cp:revision>1</cp:revision>
  <dcterms:created xsi:type="dcterms:W3CDTF">2026-07-31T10:56:53.382Z</dcterms:created>
  <dcterms:modified xsi:type="dcterms:W3CDTF">2026-07-31T10:56:53.382Z</dcterms:modified>
</cp:coreProperties>
</file>

<file path=docProps/custom.xml><?xml version="1.0" encoding="utf-8"?>
<Properties xmlns="http://schemas.openxmlformats.org/officeDocument/2006/custom-properties" xmlns:vt="http://schemas.openxmlformats.org/officeDocument/2006/docPropsVTypes"/>
</file>