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令和3年度（2021年）貸金業務取扱主任者資格試験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第16回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アップロードされた「令和3年2021年貸金問題」は、問題文と正解番号は公式と一致していました。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物品の売買、運送、保管又は売買の媒介を業とする者がその取引に付随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債務者等とは、債務者又は債務者であった者をいい、保証人及び保証人であった者は債務者等に含まれない。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貸付けの契約とは、貸付けに係る契約又は当該契約に係る保証契約であって、資金需要者等の利益を損なうおそれがないと認められるものをいう。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手続実施基本契約とは、紛争解決等業務の実施に関し、指定紛争解決機関、紛争当事者である貸金業者及び資金需要者等の三者間で締結される契約をいう。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を営もうとする者は、2つ以上の都道府県の区域内に営業所又は事務所を設置してその事業を営もうとする場合にあっては、その本店の所在地を管轄する都道府県知事を経由して内閣総理大臣の登録の申請を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貸金業者は、貸金業の登録の更新を受けようとするときは、その者が現に受けている貸金業の登録の有効期間満了の日の2か月前までに当該登録の更新を申請しなければならない。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貸金業の登録を受けるための登録申請書には、営業所又は事務所ごとに置かれる貸金業務取扱主任者の氏名及び住所を記載しなければならない。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貸金業の登録は、3年ごとにその更新を受けなければ、その期間の経過によって、その効力を失う。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貸金業法第8条（変更の届出）に関する次の①～④の記述のうち、その内容が適切なものを1つだけ選び、解答欄にその番号をマークしなさい。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を変更しようとする場合は、あらかじめ、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その業務に関して広告又は勧誘をする際に表示等をする営業所又は事務所の電話番号（場所を特定するもの並びに当該場所を特定するものに係る着信課金サービス及び統一番号サービスに係るものに限る。）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貸金業者は、その業務の種類及び方法を変更しようとする場合は、あらかじめ、その旨を登録行政庁に届け出なければならない。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貸金業者は、貸金業の他に事業を行っている場合において、その事業の種類を変更しようとするときは、あらかじめ、その旨を登録行政庁に届け出なければならない。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以下、本問において「監督指針」という。）において、監督当局が貸金業者を監督するに当たっての主な着眼点とされている事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社内規則等(注)については、貸金業者のそれぞれの規模・特性に応じて、創意・工夫を生かし、法令及び法の趣旨を踏まえ自主的に策定する必要があるとされており、協会員が策定する社内規則等は、貸金業協会の自主規制規則に則った内容となっている必要があるが、非協会員が策定する社内規則等は、その独自性に配慮し、貸金業協会の策定する自主規制規則に則った内容である必要はないこと、などが着眼点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内部管理部門」とは、法令及び社内規則等を遵守した業務運営を確保するための内部事務管理部署、法務部署等をいうが、内部管理部門において、業務運営全般に関し、法令及び社内規則等に則った適正な業務を遂行するための適切なモニタリング・検証が行われているか、また、重大な問題等を確認した場合、経営陣に対し適切に報告が行われているか、などが着眼点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他に貸金業の業務に従事する者がいない個人の貸金業者においては、当該個人が貸金業法に規定された主任者（同法第24条の25第1項の登録を受けた貸金業務取扱主任者をいう。）であることをかんがみ、内部監査に代わる措置として自己の行う貸金業に関する業務の検証を行う場合には、自己検証を実施する頻度が少なくとも年3回以上となっているか等の点を踏まえ、業務の適切性を確保するために十分な態勢を整備しているか、などが着眼点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者の経営陣は、利益相反が生じる可能性のある業務に係る内部牽制や営業店長の権限に応じた監視などについて、内部管理部門が顧客対応を行う部署に対し、適切な業務運営を確保するためのモニタリング・検証及び改善策の策定等を行う態勢を整備しているか、などが着眼点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社内規則等とは、貸金業協会の定款、業務規程、その他の規則を考慮し、当該貸金業者又はその役員もしくは使用人が遵守すべき規則をいう。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4第1項に規定する証明書（以下、本問において「証明書」という。）の携帯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貸金業者Ａは、その従業者ＢをＡの営業所又は事務所において資金需要者等と対面することなく行うシステム管理の業務に従事させる場合、Ｂに証明書を携帯させる必要はない。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貸金業者Ａは、その従業者Ｃを資金需要者等の勧誘を伴わない広告のみを行う業務に従事させる場合、Ｃに証明書を携帯させなければならない。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貸金業者Ａは、労働者派遣事業を行う事業主Ｄから派遣労働者Ｅの派遣を受けてＥをＡの貸金業の業務に従事させる場合、Ｅに証明書を携帯させる必要はない。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貸金業者Ａは、委託先Ｆに貸金業の業務を委託した場合において、Ｆの従業者Ｇがその貸金業の業務に従事するときは、Ｇに証明書を携帯させなければならない。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向けの総合的な監督指針において、貸金業法第12条の6（禁止行為）第4号に規定する「偽りその他不正又は著しく不当な行為」に該当するおそれが大きい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貸金業者が、契約の締結又は変更に際して、貸付け金額に比し、合理的理由がないのに、過大な担保又は保証人を徴求すること。</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貸金業者が、資金需要者等が身体的・精神的な障害等により契約の内容が理解困難なことを認識しながら、契約を締結すること。</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資金需要者等が障害者である場合であって、その家族や介助者等のコミュニケーションを支援する者が存在する場合に、貸金業者が、当該支援者を通じて資金需要者等に契約内容を理解してもらう等の努力をすることなく、単に障害があることを理由として契約締結を拒否すること。</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確定判決において消費者契約法第8条から第10条までの規定に該当し無効であると評価され、当該判決確定の事実が消費者庁、独立行政法人国民生活センター又は同法に規定する適格消費者団体によって公表されている条項と、内容が同一である条項を含む貸付けに係る契約（消費者契約に限る。）を締結すること。</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次のａ～ｄの記述のうち、貸金業法第13条の2第2項に規定する年間の給与及びこれに類する定期的な収入の金額として内閣府令で定めるもの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年間の年金の金額</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年間の投資信託の分配金（事業として行う場合を除く。）の金額</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年間の定期的に受領する不動産の賃貸収入（事業として行う場合を除く。）の金額</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年間の事業所得の金額（過去の事業所得の状況に照らして安定的と認められるものに限る。）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定める契約（以下、本問において「除外契約」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不動産の改良に必要な資金の貸付けに係る契約は、当該不動産を担保としない場合であっても、除外契約に該当する。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動産の購入に必要な資金の貸付けに係る契約に係る貸付け（以下「不動産購入に係る貸付け」という。）が行われるまでのつなぎとして行う貸付けに係る契約は、当該不動産購入に係る貸付けが金融機関（預金保険法第2条第1項に規定する金融機関をいう。）でない者によって行われる場合であっても、除外契約に該当す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売却を予定している個人顧客の不動産の売却代金により弁済される貸付けに係る契約は、貸付けの金額が当該貸付けに係る契約の締結時における当該不動産の価格を超える場合であっても、除外契約に該当す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自動車の購入に必要な資金の貸付けに係る契約は、当該自動車の所有権を貸金業者が取得せず、かつ、当該自動車が譲渡担保の目的となっていない場合であっても、除外契約に該当する。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個人顧客Ｂとの間で極度方式基本契約（以下、本問において「本件基本契約」という。）を締結している場合において、Ａが貸金業法第13条の3に基づいて行う本件基本契約が基準額超過極度方式基本契約に該当するかどうかの調査（以下、本問において「本件調査」という。）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あっても、当該所定の期間の末日における本件基本契約に基づく極度方式貸付けの残高の合計額が10万円を超える場合、本件調査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調査を行わなければならない場合において、Ｂに係る極度方式個人顧客合算額が70万円であるときは、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3か月以内の一定の期間の末日において、貸金業法第13条の4に基づき、本件基本契約が基準額超過極度方式基本契約に該当しないようにするため必要な本件基本契約の極度額の減額に係る措置を講じていた場合、本件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Ａは、本件基本契約に基づく新たな極度方式貸付けの停止に係る措置を講じている場合において、当該措置を解除しようとするときは、本件調査を行わなければならない。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貸付条件の広告に関する次の①～④の記述のうち、その内容が適切なものを1つだけ選び、解答欄にその番号をマークしなさい。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貸金業者が貸付けの条件について広告をする場合において、貸金業者登録簿に登録されたホームページアドレスを表示するときは、貸金業者登録簿に登録された電話番号についても表示しなければならない。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貸金業者が貸付けの条件について広告をするときは、主な返済例について表示しなければならない。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日本貸金業協会が定める貸金業の業務運営に関する自主規制基本規則（以下、本問において「自主規制規則」という。）では、協会員は、新聞、雑誌又は電話帳へ個人向け貸付けの契約に係る広告を出稿するにあたっては、その表現内容に関し、安易な借入れを助長する表現、又はその疑いのある表現を排除すること、比較広告を行う場合には合理的根拠に基づかなければならないこと、ホームページアドレスを表示する場合には当該ホームページに返済シミュレーションを備えること、に留意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自主規制規則では、協会員は、ギャンブル専門紙及びギャンブル専門誌に個人向け貸付けの契約に係る広告を出稿するにあたっては、過剰借入れへの注意喚起を目的とし、貸付条件の確認、使い過ぎ、借り過ぎへの注意、及び計画的な借入れにつき、啓発文言を入れなければならない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極度方式基本契約及び極度方式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極度方式基本契約を締結しようとする場合に、当該基本契約の相手方となろうとする者に交付すべき貸金業法第16条の2第2項に規定する書面（以下、本問において「極度方式基本契約における契約締結前の書面」という。）の記載事項には、当該基本契約に関し貸金業者が受け取る書面の内容が含まれるが、債務者が負担すべき元本及び利息以外の金銭に関する事項は含ま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極度方式基本契約を締結しようとする場合に、当該基本契約の相手方となろうとする者に交付すべき極度方式基本契約における契約締結前の書面の記載事項には、貸金業者の商号、名称又は氏名及び住所並びにその登録番号（登録番号の括弧書については、記載を省略することができる。）が含まれるが、契約の相手方の商号、名称又は氏名及び住所は含ま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基本契約を締結しようとする場合に、当該基本契約の相手方となろうとする者に交付すべき極度方式基本契約における契約締結前の書面については、当該相手方となろうとする者の承諾の有無を問わず、当該書面の記載事項を電磁的方法により提供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金業法第12条の4（証明書の携帯等）第2項の規定により営業所又は事務所（以下、本問において「営業所等」という。）ごとに備えた従業者名簿を、当該営業所等を廃止する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貸金業者は、個人顧客との間で貸付けに係る契約を締結した場合、内閣府令で定めるところにより、当該個人顧客の返済能力の調査に関する記録をその作成後3年間保存しなければならない。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締結した貸付けの契約（極度方式基本契約及び極度方式貸付けに係る契約ではないものとする。）に係る貸金業法第19条の帳簿を、当該契約に定められた最終の返済期日（当該契約に基づく債権が弁済その他の事由により消滅したときにあっては、当該債権の消滅した日）から少なくとも10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注)は、貸金業法第41条の36（指定信用情報機関への信用情報の提供等に係る同意の取得等）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加入指定信用情報機関(注2)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極度方式基本契約を締結したときは、遅滞なく、当該極度方式基本契約に係る個人信用情報を、加入指定信用情報機関に提供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加入貸金業者は、加入指定信用情報機関の商号又は名称を公表しなければならない。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例えば、途上与信(注3)を行うために取得した信用情報を債権の保全を目的として利用した場合には返済能力の調査以外の目的による使用に該当しないが、当該信用情報を勧誘に二次利用した場合には返済能力の調査以外の目的による使用に該当する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加入指定信用情報機関とは、加入貸金業者と信用情報提供契約を締結した指定信用情報機関をいう。(注3)途上与信とは、貸金業法第13条の3第1項及び第2項の規定に基づく調査をいう。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金銭の貸付け及び弁済に用いるカードを交付した後、当該顧客の要請を受けて、当該カードを再発行し、再発行に係る手数料（消費税額等相当額を含むものとする。）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ものとする。）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ものとする。）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消費税額等相当額を含むものとする。）を当該顧客から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株式会社であるＡが貸金業の登録の申請をした場合に関する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Ａの取締役の中に、精神の機能の障害のため貸金業に係る職務を適正に執行するに当たって必要な認知、判断及び意思疎通を適切に行うことができない者がいる。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Ａの取締役の中に、破産手続開始の決定を受け復権した日から5年を経過しない者がいる。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Ａの政令で定める使用人の中に、貸金業法の規定に違反し、罰金の刑に処せられ、その刑の執行を終わった日から5年を経過しない者がいる。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政令で定める使用人の中に、貸金業法第24条の6の4（監督上の処分）第1項の規定により貸金業の登録を取り消されたＢ株式会社において、当該取消しの日にＢ株式会社の取締役であった者で、当該取消しの日から5年を経過しないものが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者向けの総合的な監督指針において、顧客等に関する情報管理態勢について、監督当局が、貸金業者の監督に当たって留意するものとされている事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クレジットカード情報等について、利用目的その他の事情を勘案した適切な保存期間を設定し、保存場所を限定し、保存期間経過後適切かつ速やかに廃棄しているか。業務上必要とする場合を除き、クレジットカード情報等をコンピューター画面に表示する際には、カード番号を全て表示させない等の適切な措置を講じているか。独立した内部監査部門において、クレジットカード情報等を保護するためのルール及びシステムが有効に機能しているかについて、定期的又は随時に内部監査を行っ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関係情報を利用したインサイダー取引等の不公正な取引の防止に係る着眼点として、法人関係情報を入手し得る立場にある役職員が当該法人関係情報に関連する有価証券の売買その他の取引等を行った際には報告を義務付ける等、不公正な取引を防止するための適切な措置を講じ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データの第三者提供に関して、特に、その業務の性質や方法に応じて、第三者提供の同意の取得にあたって、優越的地位の濫用や個人である資金需要者等との利益相反等の弊害が生じるおそれがないよう留意しているか。例えば、個人である資金需要者等が、第三者提供先や第三者提供先における利用目的、提供される情報の内容について、過剰な範囲の同意を強いられる等していない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顧客等に関する情報管理態勢に係る着眼点として、顧客等に関する情報へのアクセス管理の権限等を複数の役職員に分散させることなく特定の役職員に集中させ、幅広い権限等を有する当該特定の役職員の責任において適切な管理を行わせる等、顧客等に関する情報を利用した不正行為を防止するための適切な措置を図っ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貸金業務取扱主任者に関する次の①～④の記述のうち、その内容が適切でないものを1つだけ選び、解答欄にその番号をマークしなさい。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以下、本問において「営業所等」という。）ごとに、内閣府令で定めるところにより、営業所等において貸金業の業務に従事する者の数に対する貸金業務取扱主任者の数の割合が50分の1以上となる数の貸金業務取扱主任者を置か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務取扱主任者が営業所等に常時勤務する者と認められるには、社会通念に照らし、常時勤務していると認められるだけの実態が必要であり、当該営業所等の営業時間内に当該営業所等に常時駐在している必要があ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内閣総理大臣は、貸金業務取扱主任者がその職務に関し貸金業に関する法令の規定に違反したとき、又は著しく不適当な行為を行ったときは、当該貸金業務取扱主任者の主任者登録を取り消すことができる。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貸金業者は、貸金業の業務を行うに当たり資金需要者等からの請求があったときは、当該業務を行う営業所等の貸金業務取扱主任者の氏名を明らかにしなければならない。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13条に規定する返済能力の調査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貸金業者であるＡは、法人であるＢとの間で、貸付けに係る契約を締結しようとする場合、Ｂの返済能力の調査を行うに際し、指定信用情報機関が保有する信用情報を使用する必要はない。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であるＡは、法人であるＢとの間の貸付けに係る契約について、個人であるＣとの間で、保証契約を締結しようとする場合、Ｃ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Ａは、個人であるＢとの間で、他の貸金業者Ｃを債権者とする金銭の貸借の媒介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貸金業者であるＡは、個人であるＢとの間で、極度方式貸付けに係る契約を締結しようとする場合、Ｂの返済能力の調査を行うに際し、指定信用情報機関が保有する信用情報を使用しなければならない。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であるＡは、個人顧客であるＢとの間で極度額を50万円とする極度方式基本契約（以下、本問において「本件基本契約」という。）を締結した。Ａは、Ｂとの間で本件基本契約以外の貸付けに係る契約を締結していない。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100万円に増額した場合、その2年前にＢから源泉徴収票の提出を受けているときは、Ｂから源泉徴収票その他の当該顧客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本件基本契約を締結した当初の極度額に戻そうとする場合、Ｂの返済能力の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返済能力の低下は認められないが、Ｂと連絡することができないために、極度額を一時的に20万円に減額した。その後、Ａは、Ｂと連絡することができたことにより、極度額を、本件基本契約を締結した当初の極度額に戻そうとする場合、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極度額を100万円に増額した場合、内閣府令で定めるところにより、極度額を増額した年月日、Ｂの資力に関する調査の結果等、Ｂの返済能力の調査に関する記録を作成し、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例外契約に係る貸付けの残高は、貸金業法第13条の2第2項に規定する個人顧客合算額に算入される。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以下、本問において「当該契約」という。）であって、当該契約の1か月の負担が既存債務に係る1か月の負担を上回らず、「当該契約の将来支払う返済金額の合計額」と「当該契約の締結に関し当該個人顧客が負担する元本及び利息以外の金銭の合計額」の合計額が既存債務に係る将来支払う返済金額の合計額を上回らず、当該契約に基づく債権につき物的担保を供させず、かつ、当該契約について保証契約を締結しないものは、例外契約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貸金業法施行規則第10条の23第4項に規定する特定費用を支払うために必要な資金の貸付けに係る契約として当該個人顧客と貸金業者との間に締結される契約（極度方式基本契約ではないものとする。）であって、当該個人顧客の返済能力を超えない貸付けに係る契約であると認められ、かつ、返済期間が1年を超えないものは、例外契約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であるＡは、個人顧客であるＢとの間で極度方式基本契約を締結し、貸金業法第17条（契約締結時の書面の交付）第2項に規定する書面（以下、本問において「基本契約に係る書面」という。）を交付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Ａは、Ｂとの間の合意に基づき、極度額を引き下げた後、元の額を上回らない額まで引き上げた場合、変更後の内容を記載した基本契約に係る書面をＢに再交付しなければならない。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Ａは、Ｂとの間の合意に基づき、貸付けの利率を引き下げた場合、変更後の内容を記載した基本契約に係る書面をＢに再交付する必要はない。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返済の方法及び返済を受ける場所を変更した場合、当該変更がＢの利益となる変更であるか否かを問わず、変更後の内容を記載した基本契約に係る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取立て行為の規制に関する次の①～④の記述のうち、その内容が適切でないものを1つだけ選び、解答欄にその番号をマークしなさい。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貸金業法第21条第1項第5号は、債務者等に心理的圧迫を加えることにより弁済を強要することを禁止する趣旨であり、債務者等から家族に知られないように要請を受けているか否かを問わず、債務者等の自宅に電話をかけ家族がこれを受けた場合に貸金業者であることを名乗り、郵送物の送付に当たり差出人として貸金業者であることを示したときは、同号に該当するおそれが大きい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債務者に対し支払を催告するために書面を送付するときには、その書面に封をするなどして債務者以外の者に当該債務者の借入れに関する事実が明らかにならないように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貸金業法第21条第2項に規定する支払を催告するための書面又はこれに代わる電磁的記録に記載又は記録すべき事項には、支払を催告する金額のほか、契約年月日、貸付けの金額及び貸付けの利率が含まれる。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によれば、貸金業法第21条第2項第2号に規定する「当該書面又は電磁的記録を送付する者の氏名」については、当該債権を管理する部門又は営業所等において、当該債権を管理する者の氏名を記載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場合、譲受人が貸金業者である場合を除き、譲受人に対して、当該債権が貸金業者の貸付けに係る契約に基づいて発生したこと及び譲受人が当該債権に関して行う行為について貸金業法の一部の規定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に基づく債権を譲渡した場合、当該債権の譲受人の営業所又は事務所の所在する都道府県の知事は、資金需要者等の利益の保護を図るため必要があると認めるときは、当該職員に、当該債権の譲受人の営業所もしくは事務所に立ち入らせ、その業務に関して質問させ、又は帳簿書類その他の物件を検査させ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譲渡した場合、当該債権の譲受人は、貸金業法第24条により準用される当該債権の内容を明らかにする同法第17条（契約締結時の書面の交付）に規定する書面を、遅滞なく、当該債権の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日本貸金業協会が定める貸金業の業務運営に関する自主規制基本規則では、協会員が債権譲渡を行うにあたっては、債務者等からの問合せ及び取引履歴の開示請求等に適切に対応できるように、債権譲渡契約において譲渡人及び譲受人の双方が行う役割分担を明確にすることに留意し、債務者等に送付する債権譲渡に係る通知書に明記するよう努めるものとし、協会員が廃業等に伴って債権の譲渡を行った場合には、譲渡の日から10年間帳簿を保管して、債務者等からの閲覧又は謄写の請求に応じる措置を講じるよう努め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貸金業法第24条の6の2（開始等の届出）に関する次の①～④の記述のうち、その内容が適切でないものを1つだけ選び、解答欄にその番号をマークしなさい。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協会に加入又は脱退した場合、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貸金業者は、特定の保証業者との保証契約の締結を貸付けに係る契約の締結の通常の条件とすることとなった場合、その日から2週間以内に、その旨を登録行政庁に届け出なければならない。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貸金業者は、第三者に貸金業の業務の委託を行った場合又は当該業務の委託を行わなくなった場合、その日から2週間以内に、その旨を登録行政庁に届け出なければならない。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貸金業者は、貸付けに係る契約に基づく債権を他人から譲り受けた場合、その日から2週間以内に、その旨を登録行政庁に届け出なければならない。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その登録を受けた貸金業者が、「純資産額が貸金業の業務を適正に実施するため必要かつ適当なものとして政令で定める金額に満たない者（資金需要者等の利益を損なうおそれがないものとして内閣府令で定める事由がある者を除く。）」に該当することとなった場合、当該貸金業者に対し登録を取り消し、又は1年以内の期間を定めて、その業務の全部もしくは一部の停止を命ず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法人である貸金業者の役員の所在を確知できない場合において、内閣府令で定めるところにより、その事実を公告し、その公告の日から30日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貸金業者は、事業年度ごとに、内閣府令で定めるところにより、貸金業に係る事業報告書を作成し、毎事業年度経過後30日以内に、これをその登録をした登録行政庁に提出しなければならない。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の検査・監督に係る事務処理上の留意点として、非協会員(注)に対しては、貸金業法第24条の6の10（報告徴収及び立入検査）の規定に基づき、各年の四半期毎に、前四半期に出稿した広告等の写し又はその内容がわかるものを遅滞なく徴収するものとされている。</w:t>
      </w:r>
    </w:p>
    <w:p>
      <w:pPr>
        <w:spacing w:after="60" w:line="300"/>
      </w:pPr>
      <w:r>
        <w:rPr>
          <w:rFonts w:ascii="Meiryo" w:cs="Meiryo" w:eastAsia="Meiryo" w:hAnsi="Meiryo"/>
          <w:sz w:val="19"/>
          <w:szCs w:val="19"/>
        </w:rPr>
        <w:t xml:space="preserve">(注) 非協会員とは、貸金業協会に加入していない貸金業者をいう。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利息、賠償額の予定及び金銭の貸借の媒介の手数料の規制に関する次の①～④の記述のうち、利息制限法上、その内容が適切でないものを1つだけ選び、解答欄にその番号をマークしなさい。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金銭の貸借の媒介に係る手数料の契約は、その手数料がその媒介に係る貸借の金額を元本として利息制限法第1条（利息の制限）に規定する利率により計算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営業的金銭消費貸借において、元本の額が50万円と定められている場合、当該営業的金銭消費貸借における利息の上限金利は年1割8分（18％）である。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営業的金銭消費貸借上の債務の不履行による賠償額の予定は、その賠償額の元本に対する割合が年2割（20％）を超えるときは、その超過部分について、無効となる。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利息の天引きをした場合において、天引額が債務者の受領額を元本として利息制限法第1条に規定する利率により計算した金額を超えるときは、その超過部分は、元本の支払に充てたものとみなされる。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Ｃとの間でＡとＢとの間の営業的金銭消費貸借上の債務を主たる債務とする保証契約を締結した場合におけるＢがＣに支払う保証料の契約は、その保証料が当該主たる債務の元本に係る法定上限額(注)から当該主たる債務について支払うべき利息の額を減じて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80万円とし期間を1年とする営業的金銭消費貸借契約を締結して80万円をＢに貸し付け、ＢがＡに支払う利息を変動利率をもって定めた。Ａは、当該契約について、Ｃとの間で、保証契約を締結したが、当該保証契約においてＡがＢから支払を受けることができる利息の利率の上限（特約上限利率）の定めをしなかった。この場合において、Ｃが、Ｂとの間でＢがＣに支払う保証料の契約を締結したときは、Ｂから受け取ることができる保証料の上限は、72,000円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Ｃとの間でＡとＢとの間の営業的金銭消費貸借上の債務を主たる債務とする保証契約を締結した場合において、当該保証契約に関してＣがＢから受ける保証料以外の金銭は、契約の締結又は債務の弁済費用を除き、保証料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10万円、利率を年1割3分（13％）、期間を1年、元利一括返済とする営業的金銭消費貸借契約を締結して10万円をＢに貸し付け、当該契約について、Ｃとの間で、保証契約を締結した。また、Ｃは、Ｂとの間で、ＣがＢから5,000円の保証料の支払を受ける旨の保証料の契約を締結した。この場合において、ＡとＢとの合意により、当該営業的金銭消費貸借契約の利息を利率年1割5分（15％）に変更したときは、当該変更後の利息の約定は、年1割3分（13％）を超える部分に限り無効となる。</w:t>
      </w:r>
    </w:p>
    <w:p>
      <w:pPr>
        <w:spacing w:after="60" w:line="300"/>
      </w:pPr>
      <w:r>
        <w:rPr>
          <w:rFonts w:ascii="Meiryo" w:cs="Meiryo" w:eastAsia="Meiryo" w:hAnsi="Meiryo"/>
          <w:sz w:val="19"/>
          <w:szCs w:val="19"/>
        </w:rPr>
        <w:t xml:space="preserve">(注) 法定上限額とは、利息制限法第1条（利息の制限）及び第5条（元本額の特則）の規定の例により計算した金額をいう。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実際には購入するつもりがないのに、Ｂとの間で、Ｂが所有する甲建物を購入する旨の売買契約を締結した。この場合において、Ａには甲建物を購入する意思がないことをＢが知っていたときは、Ａは、Ｂに対し、当該売買契約が心裡留保により無効であることを主張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実際には甲建物をＢに売却するつもりがないのに、Ｂと通謀して、Ｂに甲建物を売却する旨の虚偽の売買契約を締結し、ＡからＢへの甲建物の所有権移転登記を経た。その後、Ｂがこの事情を知らない第三者Ｃに甲建物を売却した場合、Ａは、Ｃに対し、ＡとＢとの間の売買契約が虚偽表示により無効であることを対抗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が所有する甲建物の近隣にショッピングモールが新設される計画を知り、Ｂとの間で、甲建物を購入する旨の売買契約を締結した。しかし、当該ショッピングモール新設の計画は、当該売買契約の締結前に既に中止となっていたが、Ａはそれを知らなかった。この場合、Ａは、当該ショッピングモール新設が甲建物の売買契約締結の基礎とされていることをＢに表示していたか否かにかかわらず、錯誤を理由として、当該売買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自己が所有する甲建物をＢに売却する旨の売買契約を締結した後、Ｂは、強迫の事実を知らないＣに甲建物を売却した。その後、Ａが強迫による意思表示を理由としてＡとＢとの間の売買契約を取り消した場合、Ａは、Ｃに対し、その取消しを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無効な行為は、当事者がその行為の無効であることを知って追認をしたときは、その行為をした時に遡って有効であるものとみなされる。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行為能力の制限によって取り消すことができる行為について、制限行為能力者は、その法定代理人、保佐人又は補助人の同意を得ずに、その行為を取り消すことができない。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取り消すことができる行為は、民法第120条（取消権者）に規定する者が追認した後であっても、その行為の相手方が自己の債務の履行に着手するまでは、取り消すことができる。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裁判上の請求がある場合において、確定判決又は確定判決と同一の効力を有するものによって権利が確定したときは、時効は、その事由が終了した時から6か月を経過した時から新たにその進行を始める。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仮差押えがある場合には、その事由が終了した時から6か月を経過するまでの間は、時効は、完成しない。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時効の更新事由である権利の承認をするには、相手方の権利についての処分につき行為能力の制限を受けていないこと又は権限があることを要する。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時効の利益は、あらかじめ放棄することができる。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連帯保証に関する次の①～④の記述のうち、民法上、その内容が適切なものを1つだけ選び、解答欄にその番号をマークしなさい。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主たる債務者の意思に反して連帯保証をすることは認められていない。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主たる債務の目的又は態様が連帯保証契約の締結後に加重されたときは、連帯保証人の負担も加重される。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債権者が連帯保証人に債務の履行を請求したときは、当該連帯保証人は、まず主たる債務者に催告をすべき旨を請求することができる。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連帯保証人に対する履行の請求その他の事由による時効の完成猶予及び更新は、債権者及び主たる債務者が別段の意思を表示したときを除き、主たる債務者に対して、その効力を生じない。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金銭債権を「甲債権」とし、ＢのＡに対する金銭債権を「乙債権」とす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甲債権の弁済期が11月1日であり、乙債権の弁済期が同年10月15日である場合、Ａは、同年10月15日の時点で、甲債権と乙債権とを相殺することができる。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Ａは、甲債権と乙債権とを相殺するにあたり、相殺の意思表示に条件又は期限を付することができる。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甲債権と乙債権とが相殺に適するようになった後に、甲債権が時効によって消滅した場合であっても、Ａは、甲債権と乙債権とを相殺することができる。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他人から譲り受けた債権である場合において、その譲受けの時期が、乙債権に係る債権差押命令がＡに送達された後であっても、甲債権が当該差押え前の原因に基づき発生したものであるときは、Ａは、甲債権と乙債権との相殺をもって乙債権の差押債権者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相続人は、相続によって得た財産の限度においてのみ被相続人の債務及び遺贈を弁済すべきことを留保して、相続の承認をすることができる。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被相続人の子が、相続の開始以前に相続放棄をした場合、その者の子がこれを代襲して相続人となる。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相続の承認及び放棄は、民法第915条（相続の承認又は放棄をすべき期間）第1項の期間内は、いつでも撤回することができる。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配偶者及び兄弟姉妹が相続人であるときは、配偶者の法定相続分は、3分の2であり、兄弟姉妹の法定相続分は3分の1である。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確定日払いの約束手形の所持人は、支払をなすべき日又はこれに次ぐ2取引日内に支払のため約束手形を呈示して、約束手形の支払を受けることができる。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約束手形に、一定の金額を支払うべき旨の単純な約束（以下、本問において「支払約束文句」という。）の記載に付加して「手形金を2回に分割して支払う」旨の条件を記載した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電子記録債権の譲渡は、当事者間の合意のみによりその効力を生じ、譲渡記録は、電子記録債権の譲渡の対抗要件である。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電子記録債権は、分割をすることができない。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強制執行手続に関する次の①～④の記述のうち、その内容が適切なものを1つだけ選び、解答欄にその番号をマークしなさい。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債権者が自己の貸金返還請求権につき執行証書(注)を有する場合における強制執行は、執行証書の正本に基づいて実施され、執行証書に執行文が付されていることを要しない。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不動産（登記することができない土地の定着物を除く。）に対する強制執行は、強制競売又は強制管理の方法により行われ、これらの方法は、併用することができない。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動産に対する強制執行は、執行裁判所の差押命令により開始する。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債務者が会社から受ける給料（毎月25日払い、月額28万円であるものとする。）に係る債権は、その支払期に受けるべき給付の4分の3に相当する部分は、差し押さえることができない。</w:t>
      </w:r>
    </w:p>
    <w:p>
      <w:pPr>
        <w:spacing w:after="60" w:line="300"/>
      </w:pPr>
      <w:r>
        <w:rPr>
          <w:rFonts w:ascii="Meiryo" w:cs="Meiryo" w:eastAsia="Meiryo" w:hAnsi="Meiryo"/>
          <w:sz w:val="19"/>
          <w:szCs w:val="19"/>
        </w:rPr>
        <w:t xml:space="preserve">(注) 執行証書とは、金銭の一定の額の支払又はその他の代替物もしくは有価証券の一定の数量の給付を目的とする請求について公証人が作成した公正証書で、債務者が直ちに強制執行に服する旨の陳述が記載されてい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行為能力に関する次の①～④の記述のうち、民法上、その内容が適切でないものを1つだけ選び、解答欄にその番号をマークしなさい。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一種又は数種の営業を許された未成年者は、その営業に関しては、成年者と同一の行為能力を有する。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成年被後見人は、その成年後見人の同意を得た場合、借財又は保証をすることができる。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家庭裁判所の審判により、被補助人が特定の法律行為をするためにその補助人の同意を得なければならないものとすることができる行為は、民法第13条（保佐人の同意を要する行為等）第1項に規定する行為の一部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制限行為能力者の相手方が、制限行為能力者が行為能力者とならない間に、その法定代理人、保佐人又は補助人に対し、その権限内の行為について、1か月以上の期間を定めて、その期間内にその取り消すことができる行為を追認するかどうかを確答すべき旨の催告をした場合において、これらの者がその期間内に確答を発しないときは、その行為を追認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Ａがその所有する甲自動車をＢに売却する旨の委任に係る代理権（以下、本問において「本件代理権」という。）をＣに付与する場合等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本件代理権を付与された後、Ａの代理人であることを示さないで、Ｂに甲自動車を売却する旨の売買契約を締結した。この場合において、Ｂが、ＣがＡの代理人であることを知っていたときは、当該売買契約は、Ａに対して直接に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Ｃは、本件代理権を付与されていた場合、Ａの許諾を得たとき、又はやむを得ない事由があるときでなければ、復代理人を選任することはできない。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Ｃは、本件代理権を付与された後、本件代理権に係る代理行為をする前に、後見開始の審判を受け成年被後見人となった。この場合、本件代理権は消滅する。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付与された本件代理権が消滅した後に、Ａの代理人としてＢに甲自動車を売却する旨の売買契約を締結した。この場合において、Ｂが、本件代理権の消滅の事実を知らなかったときは、知らないことに過失があったとしても、Ａは、Ｂに対して、Ｃの行為について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債権の効力に関する次の①～④の記述のうち、民法上、その内容が適切でないものを1つだけ選び、解答欄にその番号をマークしなさい。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債務の履行を受けることを拒み、又は受けることができない場合において、その債務の目的が特定物の引渡しであるときは、債務者は、履行の提供をした時からその引渡しをするまで、自己の財産に対するのと同一の注意をもって、その物を保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債務の不履行に対する損害賠償の請求は、これによって通常生ずべき損害の賠償をさせることをその目的とし、特別の事情によって生じた損害は、特約がなければ、その賠償を請求することができない。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債権者が、損害賠償として、その債権の目的である物又は権利の価額の全部の支払を受けたときは、債務者は、その物又は権利について当然に債権者に代位する。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債権の譲渡に関する次の①～④の記述のうち、民法上、その内容が適切でないものを1つだけ選び、解答欄にその番号をマークしなさい。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は、譲渡制限の意思表示(注1)がされた金銭の給付を目的とする債権が譲渡されたときは、その債権の全額に相当する金銭を債務の履行地（債務の履行地が債権者の現在の住所により定まる場合にあっては、譲渡人の現在の住所を含む。）の供託所に供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債権の譲渡は、その意思表示の時に債権が現に発生していることを要しない。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債権の譲渡は、譲渡人が債務者に確定日付のある証書による通知をし、又は債務者が確定日付のある証書による承諾をしなければ、債務者に対抗することができない。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対抗要件具備時(注2)より後に取得した譲渡人に対する債権であっても、その債権が対抗要件具備時より前の原因に基づいて生じたものであるときは、債務者は、その債権による相殺をもって譲受人に対抗することができる。ただし、債務者が対抗要件具備時より後に他人からその債権を取得した場合はこの限りでない。</w:t>
      </w:r>
    </w:p>
    <w:p>
      <w:pPr>
        <w:spacing w:after="60" w:line="300"/>
      </w:pPr>
      <w:r>
        <w:rPr>
          <w:rFonts w:ascii="Meiryo" w:cs="Meiryo" w:eastAsia="Meiryo" w:hAnsi="Meiryo"/>
          <w:sz w:val="19"/>
          <w:szCs w:val="19"/>
        </w:rPr>
        <w:t xml:space="preserve">(注1) 譲渡制限の意思表示とは、当事者が債権の譲渡を禁止し、又は制限する旨の意思表示をいう。(注2) 対抗要件具備時とは、債権が譲渡された場合において、譲渡人が民法第467条（債権の譲渡の対抗要件）の規定による通知をし、又は債務者が同条の規定による承諾をした時をいう。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定型約款(注1)に関する次の①～④の記述のうち、民法上、その内容が適切でないものを1つだけ選び、解答欄にその番号をマークしなさい。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定型取引を行い、又は行おうとする定型約款準備者(注2)は、定型約款を用いて契約を締結しようとする場合、事前に相手方にその定型約款の内容を示さなければならない。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定型約款の条項のうち、相手方の権利を制限し、又は相手方の義務を加重する条項であって、その定型取引の態様及びその実情並びに取引上の社会通念に照らして民法第1条第2項に規定する基本原則に反して相手方の利益を一方的に害すると認められるものについては、合意をしなか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定型約款準備者は、民法第548条の4（定型約款の変更）第1項の規定による定型約款の変更をするときは、その効力発生時期を定め、かつ、定型約款を変更する旨及び変更後の定型約款の内容並びにその効力発生時期をインターネットの利用その他の適切な方法により周知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定型約款準備者は、定型約款の変更が、相手方の一般の利益に適合する場合には、定型約款の変更をすることにより、変更後の定型約款の条項について合意があったものとみなし、個別に相手方と合意をすることなく契約の内容を変更することができる。</w:t>
      </w:r>
    </w:p>
    <w:p>
      <w:pPr>
        <w:spacing w:after="60" w:line="300"/>
      </w:pPr>
      <w:r>
        <w:rPr>
          <w:rFonts w:ascii="Meiryo" w:cs="Meiryo" w:eastAsia="Meiryo" w:hAnsi="Meiryo"/>
          <w:sz w:val="19"/>
          <w:szCs w:val="19"/>
        </w:rPr>
        <w:t xml:space="preserve">(注1) 定型約款とは、定型取引（ある特定の者が不特定多数の者を相手方として行う取引であって、その内容の全部又は一部が画一的であることがその双方にとって合理的なものをいう。）において、契約の内容とすることを目的としてその特定の者により準備された条項の総体をいう。(注2) 定型約款準備者とは、定型約款を準備した者をいう。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破産法に関する次の①～④の記述のうち、その内容が適切でないものを1つだけ選び、解答欄にその番号をマークしなさい。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債権とは、破産者に対して破産手続開始前の原因に基づいて生じた財産上の請求権であって、財団債権に該当しないものをいい、破産債権は、破産法に特別の定めがある場合を除き、破産手続によらなければ、行使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破産債権者の共同の利益のためにする裁判上の費用の請求権は、財団債権に該当し、破産手続によらないで、破産財団から随時弁済を受けることができる。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別除権とは、破産手続開始の時において破産財団に属する財産につき特別の先取特権、質権又は抵当権を有する者がこれらの権利の目的である財産について行使することができる権利をいい、別除権は、破産手続によらなければ、行使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破産債権者は、破産手続開始の申立てがあった時より1年以上前に生じた原因に基づき破産者に対して債務を負担するときは、破産手続によらないで、相殺をすることができる。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貸金業者であるＡが、自然人である顧客Ｂから融資の申込みを受けた場合において、Ｂについて確認すべき、犯罪による収益の移転防止に関する法律第4条第1項第1号に規定する本人特定事項の確認方法に関する次の①～④の記述のうち、その内容が同法上の確認方法に該当しないものを1つだけ選び、解答欄にその番号をマークしなさい。なお、Ｂの国民健康保険の被保険者証、国民年金手帳及び運転免許証は、いずれもＡがその提示又は送付を受ける日において有効なもので、Ｂの現在の住居の記載が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Ｂの国民健康保険の被保険者証及びＢの国民年金手帳の提示を受ける方法</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Ｂの国民健康保険の被保険者証の提示を受け、かつ、Ｂの現在の住居の記載のある電気料金の領収証書（領収日付の押印又は発行年月日の記載があるもので、その日がＡが送付を受ける日前6か月以内のものに限る。）の写しの送付を受ける方法</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提供するソフトウェアを使用して、Ｂに当該ソフトウェアを使用して撮影させたＢの容貌及びＢの運転免許証の画像情報（当該画像情報が、当該運転免許証に記載されている氏名、住居及び生年月日、当該運転免許証に貼り付けられた写真並びに当該運転免許証の厚みその他の特徴を確認することができるもの）の送信を受ける方法</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Ｂの運転免許証の写しの送付を受けるとともに、当該運転免許証の写しに記載されているＢの住居に宛てて、取引関係文書を書留郵便の方法により、転送不要郵便物（その取扱いにおいて転送しない郵便物）として送付する方法</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識別符号とは、当該情報単体から特定の個人を識別できるものとして個人情報の保護に関する法律施行令第1条に定められた文字、番号、記号その他の符号をいい、携帯電話番号やクレジットカード番号は個人識別符号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とは、個人情報データベース等を事業の用に供している者（国の機関、地方公共団体、独立行政法人等及び地方独立行政法人を除く。）をいい、個人情報データベース等を事業の用に供している者であれば、当該個人情報データベース等を構成する個人情報によって識別される特定の個人の数の多寡にかかわらず、個人情報取扱事業者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保有個人データとは、個人情報取扱事業者が管理する個人情報データベース等を構成する個人情報をいい、本人又はその代理人から請求される開示、内容の訂正、追加もしくは削除、利用の停止、消去又は第三者への提供の停止のいずれかに応じることができる権限を有する個人情報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要配慮個人情報とは、本人の人種、信条、社会的身分、病歴、犯罪の経歴が含まれる個人情報をいうが、犯罪により害を被った事実は要配慮個人情報に含まれない。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事業者とは法人その他の団体をいい、事業として又は事業のために契約の当事者となる場合における個人は消費者契約法上の事業者には当たらない。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消費者を勧誘するに際し、当該消費者に対してある重要事項又は当該重要事項に関連する事項について当該消費者の利益となる旨を告げ、かつ、当該重要事項について当該消費者の不利益となる事実を故意に告げなかったことにより、当該消費者が、当該事実が存在しないとの誤認をし、それによって当該消費者契約の申込み又はその承諾の意思表示をしたときは、当該消費者契約は無効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事業者の債務不履行（当該事業者、その代表者又はその使用する者の故意又は重大な過失によるものに限る。）により消費者に生じた損害を賠償する責任の一部を免除する消費者契約の条項は、無効である。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貸金業務等関連苦情とは、貸金業務等に関し、その契約者等による当該貸金業務等を行った者に対する不満足の表明をいう。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ない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苦情処理手続の申立人又は相手方が、苦情処理手続において代理人とすることができるのは、その法定代理人、弁護士、司法書士、行政書士に限られる。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紛争解決手続開始の申立てをすることができるのは、貸金業務関連紛争の当事者である個人又は法人とされており、法人ではない社団又は財団は、紛争解決手続開始の申立てをすることができない。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以下、本問において「ガイドライン（通則編）」という。）及び金融分野における個人情報保護に関するガイドライン（以下、本問において「金融分野ガイドライン」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ガイドライン（通則編）によれば、親子兄弟会社、グループ会社の間で個人データを交換する場合は、個人情報の保護に関する法律第23条第5項各号に該当するときを除き、第三者提供に該当す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ガイドライン（通則編）によれば、個人情報取扱事業者は、個人データを共同利用する場合において、「共同利用する者の利用目的」については、社会通念上、本人が通常予期し得る限度と客観的に認められる範囲内で変更することができ、「個人データの管理について責任を有する者の氏名又は名称」についても変更することができるが、いずれも変更する前に、本人に通知し、又は容易に知り得る状態に置か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ガイドライン（通則編）によれば、個人データの取扱いに関する業務の全部又は一部を委託することに伴い、当該個人データが提供される場合は、利用目的の達成に必要な範囲内であっても、当該提供先は第三者に該当す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ガイドラインによれば、金融分野における個人情報取扱事業者は、与信事業に係る個人の返済能力に関する情報を個人信用情報機関へ提供するに当たっては、個人情報の保護に関する法律第23条第2項（オプトアウト）の規定を適用しない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資金需要者等が、協会員からの勧誘を一切拒否する旨の強い意思表示を行った場合、当該意思の表示のあった日から最低1年間は一切の勧誘を見合わせるものとし、当該期間経過後も架電、ファックス、電子メールもしくはダイレクトメール等の送信又は訪問等、当該資金需要者等の私生活や業務に与える影響が大きい方法による勧誘は行わないことを目処として対応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資金需要者等が、協会員が勧誘を行った取引に係る勧誘を引き続き受けることを希望しない旨の明確な意思の表示を行った場合、当該意思表示のあった日から最低6か月間は当該勧誘に係る取引及びこれと類似する取引の勧誘を見合わせることを目処として対応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貸付けの契約の締結の勧誘に際し、資金需要者等が身体的・精神的な障害等により契約の内容が理解困難なことを認識した場合、当該資金需要者等に対し、契約内容を丁寧に説明し十分にその内容を理解させる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会社計算規則に規定する貸借対照表等(注)に関する次のａ～ｄの記述のうち、その内容が適切なものの個数を①～④の中から1つだけ選び、解答欄にその番号をマークしなさい。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貸借対照表等は、資産、負債及び純資産の各部に区分して表示しなければならない。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負債の部は、流動負債、固定負債及び繰延負債に区分して表示しなければならない。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前受金（受注工事、受注品等に対する前受金をいう。）は、流動資産に属するものとされている。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前払費用であって、1年内に費用となるべきものは、流動負債に属するものとされている。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短期借入れによる収入、短期借入金の返済による支出は、営業活動によるキャッシュ・フローの区分に掲記される。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棚卸資産の増加額又は減少額は、投資活動によるキャッシュ・フローの区分に掲記される。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活動によるキャッシュ・フローの区分には、営業利益又は営業損失の計算の対象となった取引に係るキャッシュ・フローのほか、投資活動及び財務活動以外の取引に係るキャッシュ・フローが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貸付けによる支出、貸付金の回収による収入は、財務活動によるキャッシュ・フローの区分に掲記される。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企業会計は、すべての取引につき、正規の簿記の原則に従って、正確な会計帳簿を作成しなければならない。これを一般に正規の簿記の原則という。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資本取引と負債取引とを明確に区別し、特に資本金と借入金とを混同してはならない。これを一般に明瞭性の原則という。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企業の財政に不利な影響を及ぼす可能性がある場合には、これに備えて適当に健全な会計処理をしなければならない。これを一般に保守主義の原則という。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貸金業法第13条の4（基準額超過極度方式基本契約に係る必要な措置）</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貸金業法第19条（帳簿の備付け）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収入の証明・源泉徴収票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貸金業法施行規則第10条の23（個人顧客の利益の保護に支障を生ずることがない契約等）　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民法第120条（取消権者）</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民法第915条（相続の承認又は放棄をすべき期間）</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民事執行・保全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民法第13条（保佐人の同意を要する行為等）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債権譲渡・債務引受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民法第467条（指名債権の譲渡の対抗要件）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民法第548条の4（定型約款の変更）</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令和3年度 第16回 貸金業務取扱主任者資格試験</dc:title>
  <dc:creator>貸金業務取扱主任者 過去問1000</dc:creator>
  <cp:lastModifiedBy>Un-named</cp:lastModifiedBy>
  <cp:revision>1</cp:revision>
  <dcterms:created xsi:type="dcterms:W3CDTF">2026-07-31T13:53:47.950Z</dcterms:created>
  <dcterms:modified xsi:type="dcterms:W3CDTF">2026-07-31T13:53:47.950Z</dcterms:modified>
</cp:coreProperties>
</file>

<file path=docProps/custom.xml><?xml version="1.0" encoding="utf-8"?>
<Properties xmlns="http://schemas.openxmlformats.org/officeDocument/2006/custom-properties" xmlns:vt="http://schemas.openxmlformats.org/officeDocument/2006/docPropsVTypes"/>
</file>