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line="300"/>
      </w:pPr>
      <w:r>
        <w:rPr>
          <w:rFonts w:ascii="Meiryo" w:cs="Meiryo" w:eastAsia="Meiryo" w:hAnsi="Meiryo"/>
          <w:b/>
          <w:bCs/>
          <w:sz w:val="32"/>
          <w:szCs w:val="32"/>
        </w:rPr>
        <w:t xml:space="preserve">令和2年度（2020年）貸金業務取扱主任者資格試験</w:t>
      </w:r>
    </w:p>
    <w:p>
      <w:pPr>
        <w:pBdr>
          <w:bottom w:val="single" w:color="0A5A2C" w:sz="6" w:space="4"/>
        </w:pBdr>
        <w:spacing w:after="220" w:line="300"/>
      </w:pPr>
      <w:r>
        <w:rPr>
          <w:rFonts w:ascii="Meiryo" w:cs="Meiryo" w:eastAsia="Meiryo" w:hAnsi="Meiryo"/>
          <w:b/>
          <w:bCs/>
          <w:color w:val="0A5A2C"/>
          <w:sz w:val="24"/>
          <w:szCs w:val="24"/>
        </w:rPr>
        <w:t xml:space="preserve">第15回　全50問</w:t>
      </w:r>
    </w:p>
    <w:p>
      <w:pPr>
        <w:spacing w:after="60" w:line="300"/>
      </w:pPr>
      <w:r>
        <w:rPr>
          <w:rFonts w:ascii="Meiryo" w:cs="Meiryo" w:eastAsia="Meiryo" w:hAnsi="Meiryo"/>
          <w:b/>
          <w:bCs/>
          <w:sz w:val="22"/>
          <w:szCs w:val="22"/>
        </w:rPr>
        <w:t xml:space="preserve">この文書について</w:t>
      </w:r>
    </w:p>
    <w:p>
      <w:pPr>
        <w:spacing w:after="60" w:line="300"/>
      </w:pPr>
      <w:r>
        <w:rPr>
          <w:rFonts w:ascii="Meiryo" w:cs="Meiryo" w:eastAsia="Meiryo" w:hAnsi="Meiryo"/>
          <w:sz w:val="21"/>
          <w:szCs w:val="21"/>
        </w:rPr>
        <w:t xml:space="preserve">問題文・記述ａ〜ｄ・選択肢①〜④・注記は、日本貸金業協会が公開している試験問題PDFの原文そのままです。正解は同協会の正答PDFに拠ります。</w:t>
      </w:r>
    </w:p>
    <w:p>
      <w:pPr>
        <w:spacing w:after="60" w:line="300"/>
      </w:pPr>
      <w:r>
        <w:rPr>
          <w:rFonts w:ascii="Meiryo" w:cs="Meiryo" w:eastAsia="Meiryo" w:hAnsi="Meiryo"/>
          <w:sz w:val="21"/>
          <w:szCs w:val="21"/>
        </w:rPr>
        <w:t xml:space="preserve">アップロードされた「令和2年 2020年貸金問題」では、正解番号が50問中23問で公式正答と食い違っていました。公式正答に直しています。</w:t>
      </w:r>
    </w:p>
    <w:p>
      <w:pPr>
        <w:spacing w:after="240" w:line="300"/>
      </w:pPr>
      <w:r>
        <w:rPr>
          <w:rFonts w:ascii="Meiryo" w:cs="Meiryo" w:eastAsia="Meiryo" w:hAnsi="Meiryo"/>
          <w:sz w:val="21"/>
          <w:szCs w:val="21"/>
        </w:rPr>
        <w:t xml:space="preserve">解説は載せていません。アップロードされた5ファイルの解説を全250問について照合したところ、設問とは別の論点を説明しているものがほとんどでした。誤った解説は学習の妨げになるため、推測で書き直すことはしていません。代わりに、出題テーマ（47分類）・条文名・選択肢どうしの対立から機械的に検出した「狙われている点」を付けています。</w:t>
      </w:r>
    </w:p>
    <w:p>
      <w:pPr>
        <w:pBdr>
          <w:bottom w:val="single" w:color="0A5A2C" w:sz="6" w:space="4"/>
        </w:pBdr>
        <w:spacing w:after="180" w:line="300"/>
      </w:pPr>
      <w:r>
        <w:rPr>
          <w:rFonts w:ascii="Meiryo" w:cs="Meiryo" w:eastAsia="Meiryo" w:hAnsi="Meiryo"/>
          <w:b/>
          <w:bCs/>
          <w:color w:val="0A5A2C"/>
          <w:sz w:val="26"/>
          <w:szCs w:val="26"/>
        </w:rPr>
        <w:t xml:space="preserve">問題</w:t>
      </w:r>
    </w:p>
    <w:p>
      <w:pPr>
        <w:spacing w:after="120" w:line="300"/>
      </w:pPr>
      <w:r>
        <w:rPr>
          <w:rFonts w:ascii="Meiryo" w:cs="Meiryo" w:eastAsia="Meiryo" w:hAnsi="Meiryo"/>
          <w:b/>
          <w:bCs/>
          <w:color w:val="0A5A2C"/>
          <w:sz w:val="23"/>
          <w:szCs w:val="23"/>
        </w:rPr>
        <w:t xml:space="preserve">法令</w:t>
      </w:r>
    </w:p>
    <w:p>
      <w:pPr>
        <w:spacing w:after="60" w:line="300"/>
      </w:pPr>
      <w:r>
        <w:rPr>
          <w:rFonts w:ascii="Meiryo" w:cs="Meiryo" w:eastAsia="Meiryo" w:hAnsi="Meiryo"/>
          <w:b/>
          <w:bCs/>
          <w:sz w:val="21"/>
          <w:szCs w:val="21"/>
        </w:rPr>
        <w:t xml:space="preserve">【問題 1】</w:t>
      </w:r>
    </w:p>
    <w:p>
      <w:pPr>
        <w:spacing w:after="80" w:line="300"/>
      </w:pPr>
      <w:r>
        <w:rPr>
          <w:rFonts w:ascii="Meiryo" w:cs="Meiryo" w:eastAsia="Meiryo" w:hAnsi="Meiryo"/>
          <w:sz w:val="21"/>
          <w:szCs w:val="21"/>
        </w:rPr>
        <w:t xml:space="preserve">貸金業法上の用語の定義等に関する次のａ～ｄの記述のうち、その内容が適切なものの個数を①～④の中から1つだけ選び、解答欄にその番号をマークしなさい。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貸金業とは、金銭の貸付け又は金銭の貸借の媒介（手形の割引、売渡担保その他これらに類する方法によってする金銭の交付又は当該方法によってする金銭の授受の媒介を含む。）で業として行うものをいうが、貸金業から除かれるものの1つとして、事業者がその従業者に対して行うものがある。</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資金需要者等とは、資金需要者である顧客又は債務者をいい、保証人となろうとする者及び保証人は、資金需要者等に含まれない。</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個人信用情報とは、資金需要者である顧客又は債務者の借入金の返済能力に関する情報をいう。</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住宅資金貸付契約とは、住宅の建設又は購入に必要な資金（住宅の用に供する土地又は借地権の取得に必要な資金を含む。）の貸付けに係る契約をいい、住宅の改良に必要な資金の貸付けに係る契約は、住宅資金貸付契約に含まれな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1個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2個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3個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4個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w:t>
      </w:r>
    </w:p>
    <w:p>
      <w:pPr>
        <w:spacing w:after="80" w:line="300"/>
      </w:pPr>
      <w:r>
        <w:rPr>
          <w:rFonts w:ascii="Meiryo" w:cs="Meiryo" w:eastAsia="Meiryo" w:hAnsi="Meiryo"/>
          <w:sz w:val="21"/>
          <w:szCs w:val="21"/>
        </w:rPr>
        <w:t xml:space="preserve">貸金業者の登録等に関する次のａ～ｄの記述のうち、その内容が適切なものの個数を①～④の中から1つだけ選び、解答欄にその番号をマークしなさい。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貸金業法第4条（登録の申請）第1項第2号等に規定する政令で定める使用人は、貸金業の登録を受けようとする者の使用人で、貸金業に関し貸金業法第4条第1項に規定する営業所又は事務所の業務を統括する者その他これに準ずる者で内閣府令で定めるものである。</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貸金業者は、貸金業の登録の更新を受けようとするときは、その者が現に受けている貸金業の登録の有効期間満了の日までに当該登録の更新を申請しなければならない。</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貸金業者登録簿には、貸金業者の商号、名称又は氏名及び住所、営業所又は事務所の名称及び所在地等のほか、業務の種類及び方法も登録される。</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貸金業法第4条第1項の登録申請書に記載する営業所又は事務所とは、貸金業者又はその代理人が一定の場所で貸付けに関する業務の全部又は一部を継続して営む施設又は設備をいうが、貸金業者が既存の営業所又は事務所の隣接地に新たに設置する、現金自動設備及び自動契約受付機は、いずれも営業所又は事務所には該当しな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1個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2個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3個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4個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w:t>
      </w:r>
    </w:p>
    <w:p>
      <w:pPr>
        <w:spacing w:after="80" w:line="300"/>
      </w:pPr>
      <w:r>
        <w:rPr>
          <w:rFonts w:ascii="Meiryo" w:cs="Meiryo" w:eastAsia="Meiryo" w:hAnsi="Meiryo"/>
          <w:sz w:val="21"/>
          <w:szCs w:val="21"/>
        </w:rPr>
        <w:t xml:space="preserve">貸金業法第10条（廃業等の届出）に関する次の①～④の記述のうち、その内容が適切なものを1つだけ選び、解答欄にその番号をマークしなさい。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株式会社である貸金業者がその株主総会における解散決議により解散した場合、当該株式会社の貸金業の登録は、その清算人がその旨をその登録をした内閣総理大臣又は都道府県知事（以下、本問において「登録行政庁」という。）に届け出た時に、その効力を失う。</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株式会社である貸金業者が合併により消滅した場合、合併による存続会社又は新設会社を代表する役員は、その日から30日以内に、その旨を登録行政庁に届け出なければならない。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個人である貸金業者について破産手続開始の決定があった場合、当該個人は、その日から30日以内に、その旨を登録行政庁に届け出なければならない。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個人である貸金業者が死亡した場合においては、相続人（相続人が2人以上ある場合において、その全員の同意により事業を承継すべき相続人を選定したときは、その者）は、被相続人の死亡後60日間（当該期間内に貸金業法第6条第1項の規定による登録の拒否の処分があったときは、その日までの間）は、引き続き貸金業を営むことができ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w:t>
      </w:r>
    </w:p>
    <w:p>
      <w:pPr>
        <w:spacing w:after="80" w:line="300"/>
      </w:pPr>
      <w:r>
        <w:rPr>
          <w:rFonts w:ascii="Meiryo" w:cs="Meiryo" w:eastAsia="Meiryo" w:hAnsi="Meiryo"/>
          <w:sz w:val="21"/>
          <w:szCs w:val="21"/>
        </w:rPr>
        <w:t xml:space="preserve">貸金業者向けの総合的な監督指針において、監督当局が、外部委託（貸金業者が貸金業の業務を第三者に委託すること）について貸金業者を監督するに当たって留意するものとされている事項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外部委託には、形式上、外部委託契約が結ばれていなくともその実態において外部委託と同視しうる場合や当該外部委託された業務等が海外で行われる場合も含まれる。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委託業務に関して契約どおりサービスの提供が受けられず、顧客利便に支障が生じるおそれがある場合、直ちに外部委託先を変更して変更後の外部委託先に対応させるための態勢を整備しているか。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外部委託先において漏えい事故等が発生した場合に、適切な対応がなされ、速やかに外部委託先から監督当局に報告される体制になっていることを確認しているか。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二段階以上の委託が行われた場合であっても、再委託先等の事業者に対して貸金業者自身による直接の監督を行い、外部委託先に対して再委託先等の事業者への監督を行わせないような措置が講じられている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5】</w:t>
      </w:r>
    </w:p>
    <w:p>
      <w:pPr>
        <w:spacing w:after="80" w:line="300"/>
      </w:pPr>
      <w:r>
        <w:rPr>
          <w:rFonts w:ascii="Meiryo" w:cs="Meiryo" w:eastAsia="Meiryo" w:hAnsi="Meiryo"/>
          <w:sz w:val="21"/>
          <w:szCs w:val="21"/>
        </w:rPr>
        <w:t xml:space="preserve">貸金業法第12条の3（貸金業務取扱主任者の設置）に関する次の①～④の記述のうち、その内容が適切なものを1つだけ選び、解答欄にその番号をマークしなさい。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は、営業所又は事務所（自動契約受付機もしくは現金自動設備のみにより貸付けに関する業務を行う営業所もしくは事務所又は代理店を除く。以下、本問において「営業所等」という。）ごとに、貸金業の業務に従事する者50人に1人の割合で貸金業務取扱主任者を置かなければならないが、当該貸金業の業務に従事する者には、人事、労務、経理又はシステム管理等その業務遂行の影響が、通常、資金需要者等に及ばない業務に従事する者が含まれ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者向けの総合的な監督指針によれば、貸金業法施行規則第10条の7（貸金業務取扱主任者の設置）第1号の「常時勤務する者」とは、営業時間内に営業所等に常時駐在する必要はなく、2つの営業所等が同じ建物内にあり、貸金業務取扱主任者が常時往来できると認められる実態があれば、2つの営業所等を兼務する貸金業務取扱主任者を置くことができるとされてい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は、貸金業務取扱主任者が貸金業法第12条の3第1項の助言又は指導に係る職務を適切に遂行できるよう必要な配慮を行わなければならず、貸金業の業務に従事する使用人その他の従業者は、貸金業務取扱主任者が行う同項の助言を尊重するとともに、同項の指導に従わ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は、営業所等における唯一の貸金業務取扱主任者が定年退職により当該営業所等に常時勤務する者でなくなった場合において、その後も当該営業所等で貸金業の業務を継続するときは、当該貸金業務取扱主任者が常時勤務する者でなくなった日から2週間以内に、新たに貸金業務取扱主任者を当該営業所等に置か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6】</w:t>
      </w:r>
    </w:p>
    <w:p>
      <w:pPr>
        <w:spacing w:after="80" w:line="300"/>
      </w:pPr>
      <w:r>
        <w:rPr>
          <w:rFonts w:ascii="Meiryo" w:cs="Meiryo" w:eastAsia="Meiryo" w:hAnsi="Meiryo"/>
          <w:sz w:val="21"/>
          <w:szCs w:val="21"/>
        </w:rPr>
        <w:t xml:space="preserve">貸金業法第12条の6（禁止行為）に関する次のａ～ｄの記述のうち、その内容が適切なものの組み合わせを①～④の中から1つだけ選び、解答欄にその番号をマークしなさい。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貸金業者は、保証人となろうとする者に対し、主たる債務者が弁済することが確実であると誤解させるおそれのあることを告げる行為をした場合、その登録をした内閣総理大臣又は都道府県知事（以下、本問において「登録行政庁」という。）から、その登録を取り消され、又は1年以内の期間を定めて、その業務の全部もしくは一部の停止を命じられることがある。</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貸金業者は、資金需要者等に対し、不確実な事項について断定的判断を提供し、又は確実であると誤認させるおそれのあることを告げる行為をした場合、貸金業法上、刑事罰の対象となる。</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貸金業者向けの総合的な監督指針（以下、本問において「監督指針」という。）によれば、例えば、資金需要者等から契約の内容について問合せがあったにもかかわらず、当該内容について回答せず、資金需要者等に不利益を与えることは、貸金業法第12条の6第1号に規定する「貸付けの契約の内容のうち重要な事項を告げない」行為に該当するおそれが大きいことに留意する必要があるとされている。</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監督指針によれば、貸金業法第12条の6第4号に規定する「偽りその他不正又は著しく不当な行為」にいう「不正な」行為とは、違法な行為には該当しないが、客観的に見て、実質的に妥当性を欠く又は適当でない行為、「不当な」行為とは、不正な程度にまで達していない行為をいうとされてい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ａｂ</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ａｃ</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ｂｄ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ｃｄ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7】</w:t>
      </w:r>
    </w:p>
    <w:p>
      <w:pPr>
        <w:spacing w:after="80" w:line="300"/>
      </w:pPr>
      <w:r>
        <w:rPr>
          <w:rFonts w:ascii="Meiryo" w:cs="Meiryo" w:eastAsia="Meiryo" w:hAnsi="Meiryo"/>
          <w:sz w:val="21"/>
          <w:szCs w:val="21"/>
        </w:rPr>
        <w:t xml:space="preserve">貸金業法第12条の8（利息、保証料等に係る制限等）に関する次のａ～ｄの記述のうち、その内容が適切なものの組み合わせを①～④の中から1つだけ選び、解答欄にその番号をマークしなさい。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貸金業者は、その利息（みなし利息を含む。）が利息制限法第1条に規定する金額を超える利息の契約を締結してはならない。また、貸金業者は、同条に規定する金額を超える利息を受領し、又はその支払を要求してはならない。</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金銭の貸借の媒介を行った貸金業者は、当該媒介により締結された貸付けに係る契約の債務者から当該媒介の手数料を受領した。この場合において、当該貸付けに係る契約について更新があったときは、当該貸金業者は、当該更新に対する新たな手数料を当該債務者から受領することができる。</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貸金業者は、貸付けに係る契約について、業として保証を行う者（以下、本問において「保証業者」という。）と保証契約を締結しようとするときは、あらかじめ、当該保証契約を締結するまでに、当該保証業者への照会その他の方法により、当該保証業者と当該貸付けに係る契約の相手方又は相手方となろうとする者との間における保証料に係る契約の締結の有無、及び当該保証料に係る契約を締結する場合には当該保証料の額を確認しなければならない。</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貸金業者は、保証業者との間で根保証契約（一定の範囲に属する不特定の貸付けに係る債務を主たる債務とする保証契約をいう。）を締結しようとする場合において、当該根保証契約が、当該根保証契約において1年を経過した日より後の日を元本確定期日として定める根保証契約又は元本確定期日の定めがない根保証契約に当たるものであるときは、当該根保証契約を締結してはならな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ａｂ</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ａｃ</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ｂｄ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ｃｄ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8】</w:t>
      </w:r>
    </w:p>
    <w:p>
      <w:pPr>
        <w:spacing w:after="80" w:line="300"/>
      </w:pPr>
      <w:r>
        <w:rPr>
          <w:rFonts w:ascii="Meiryo" w:cs="Meiryo" w:eastAsia="Meiryo" w:hAnsi="Meiryo"/>
          <w:sz w:val="21"/>
          <w:szCs w:val="21"/>
        </w:rPr>
        <w:t xml:space="preserve">貸金業法第13条（返済能力の調査）に関する次の記述のうち、その内容が適切なものを①～④の中から1つだけ選び、解答欄にその番号をマークしなさい。なお、本問における貸付けに係る契約は、極度方式基本契約及び極度方式貸付けに係る契約ではないものとする。また、本問における貸金業者は、非営利特例対象法人及び特定非営利金融法人ではないものとす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は、個人である顧客との間で、他の貸金業者を債権者とする金銭の貸借の媒介に係る契約を締結しようとする場合、当該顧客の返済能力の調査を行うに際し、指定信用情報機関が保有する信用情報を使用し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者は、法人である顧客との間で、手形（融通手形を除く。）の割引を内容とする契約を締結しようとする場合、当該顧客の収入又は収益その他の資力、信用、借入れの状況、返済計画その他の返済能力に関する事項を調査する必要は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は、当該貸金業者とは他に貸付けに係る契約を締結していない個人である顧客との間で、貸付けの金額が30万円である貸付けに係る契約を締結しようとする場合において、指定信用情報機関が保有する信用情報を使用して返済能力の調査を行った結果、当該顧客の他の貸金業者に対する借入残高が70万円であることが判明したときは、当該契約を締結するに際して、当該顧客から、当該顧客の資力を明らかにする書面等の提出又は提供を受け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は、個人である顧客との間で、貸付けに係る契約を締結した場合、内閣府令で定めるところにより、貸金業法第13条第1項の規定による調査に関する記録を作成し、これを当該貸付けに係る契約に定められた最終の返済期日（当該貸付けに係る契約に基づく債権が弁済その他の事由により消滅したときにあっては、当該債権の消滅した日）までの間保存し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9】</w:t>
      </w:r>
    </w:p>
    <w:p>
      <w:pPr>
        <w:spacing w:after="80" w:line="300"/>
      </w:pPr>
      <w:r>
        <w:rPr>
          <w:rFonts w:ascii="Meiryo" w:cs="Meiryo" w:eastAsia="Meiryo" w:hAnsi="Meiryo"/>
          <w:sz w:val="21"/>
          <w:szCs w:val="21"/>
        </w:rPr>
        <w:t xml:space="preserve">株式会社である貸金業者Ａは、個人顧客Ｂとの間で極度額を30万円とする極度方式基本契約（以下、本問において「本件基本契約」という。）を締結した。Ａは、Ｂとの間で本件基本契約以外の貸付けに係る契約を締結していない。この場合において、Ａが行う貸金業法第13条に規定する返済能力調査に関する次のａ～ｄの記述のうち、その内容が適切なものの個数を①～④の中から1つだけ選び、解答欄にその番号をマークしなさい。なお、本件基本契約は、貸金業法施行規則第1条の2の3（個人信用情報の対象とならない契約）第2号から第5号までに掲げる契約ではないものとする。</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Ａは、Ｂに返済能力の低下が認められたことを理由に極度額を一時的に10万円に減額した後、Ｂとの間の合意に基づき、極度額を、当該極度方式基本契約を締結した当初の30万円に戻そうとする場合、Ｂの返済能力の調査を行う必要はない。</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Ａは、Ｂに対し本件基本契約に基づく極度方式貸付けの元本の残高の上限として極度額を下回る額を提示している場合において、当該下回る額を極度額まで増額するときは、Ｂの返済能力の調査を行うに際し、指定信用情報機関が保有する信用情報を使用しなければならない。</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Ａは、Ｂとの間の合意に基づき、本件基本契約における極度額を50万円に増額しようとする場合において、指定信用情報機関から提供を受けた信用情報により判明したＢに対するＡ以外の貸金業者の貸付けの残高の合計額は0円であった。この場合、Ａは、Ｂから源泉徴収票その他の当該顧客の収入又は収益その他の資力を明らかにする事項を記載し、又は記録した書面又は電磁的記録として内閣府令で定めるものの提出又は提供を受けなければならない。</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Ａは、本件基本契約の極度額を増額した時に作成した返済能力の調査に関する記録を、本件基本契約の解除の日又は本件基本契約に基づくすべての極度方式貸付けに係る契約に定められた最終の返済期日のうち最後のもの（これらの契約に基づく債権のすべてが弁済その他の事由により消滅したときは、その消滅した日）のうちいずれか早い日までの間保存しなければならな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1個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2個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3個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4個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10】</w:t>
      </w:r>
    </w:p>
    <w:p>
      <w:pPr>
        <w:spacing w:after="80" w:line="300"/>
      </w:pPr>
      <w:r>
        <w:rPr>
          <w:rFonts w:ascii="Meiryo" w:cs="Meiryo" w:eastAsia="Meiryo" w:hAnsi="Meiryo"/>
          <w:sz w:val="21"/>
          <w:szCs w:val="21"/>
        </w:rPr>
        <w:t xml:space="preserve">株式会社である貸金業者Ａが、個人顧客Ｂとの間で締結している極度方式基本契約（以下、本問において「本件基本契約」という。）について行う、本件基本契約が基準額超過極度方式基本契約に該当するかどうかの調査（以下、本問において「本件調査」という。）に関する次のａ～ｄの記述のうち、その内容が適切なものの組み合わせを①～④の中から1つだけ選び、解答欄にその番号をマークしなさい。なお、Ａは、Ｂとの間で本件基本契約以外の極度方式基本契約を締結していないものとする。</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Ａは、本件基本契約の契約期間を本件基本契約の締結日から同日以後1か月以内の一定の期日までの期間及び当該一定の期日の翌日以後1か月ごとの期間に区分したそれぞれの期間（以下、本問において「所定の期間」という。）において、直近の「所定の期間」内にＡが行った本件基本契約に基づく極度方式貸付けの金額の合計額が5万円で、当該「所定の期間」の末日における本件基本契約に基づく極度方式貸付けの残高の合計額が10万円であった場合、本件調査を行わなければならない。</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Ａは、Ｂが本件基本契約に基づく極度方式貸付けに係る契約により負う債務の履行を遅滞したことにより本件基本契約に基づく新たな極度方式貸付けの停止に係る措置を講じていた場合において当該措置を解除したときは、その日から2週間を経過する日までに本件調査を行わなければならない。</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Ａは、本件調査をしなければならない場合、「所定の期間」の末日から3週間を経過する日までに、指定信用情報機関にＢの個人信用情報の提供を依頼しなければならない。</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Ａは、本件調査をしなければならない場合において、Ｂに係る極度方式個人顧客合算額が120万円である場合、当該調査を行うに際し、既にＢから源泉徴収票その他のＢの収入又は収益その他の資力を明らかにする事項を記載し、又は記録した書面又は電磁的記録として内閣府令で定めるものの提出又は提供を受けているときを除き、その提出又は提供を受けなければならな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ａｂ</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ａｃ</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ｂｄ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ｃｄ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11】</w:t>
      </w:r>
    </w:p>
    <w:p>
      <w:pPr>
        <w:spacing w:after="80" w:line="300"/>
      </w:pPr>
      <w:r>
        <w:rPr>
          <w:rFonts w:ascii="Meiryo" w:cs="Meiryo" w:eastAsia="Meiryo" w:hAnsi="Meiryo"/>
          <w:sz w:val="21"/>
          <w:szCs w:val="21"/>
        </w:rPr>
        <w:t xml:space="preserve">貸金業法第14条（貸付条件等の掲示）に関する次のａ～ｄの記述のうち、その内容が適切なものの組み合わせを①～④の中から1つだけ選び、解答欄にその番号をマークしなさい。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貸金業者が、貸付条件等の掲示として、営業所又は事務所（以下、本問において「営業所等」という。）ごとに掲示しなければならない事項には、当該営業所等に置かれる貸金業務取扱主任者の氏名、役職名及び登録番号が含まれる。</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貸金業者が、貸付条件等の掲示として、営業所等ごとに掲示しなければならない事項には、金銭の貸付けにおいて担保を供することが必要な場合における当該担保に関する事項が含まれる。</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貸金業者は、貸付条件等の掲示として、営業所等ごとに貸付けの利率を掲示する場合において、その年率(注)を百分率で表示するときは、少なくとも小数点以下一位まで表示する方法により行わなければならない。</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貸金業者が、貸付条件等の掲示をしなければならない営業所等には、あらかじめ定める条件により継続して貸付けを行う契約に基づく金銭の交付又は回収のみを行う現金自動設備が含まれる。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ａｂ</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ｂｃ</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ｃｄ</w:t>
      </w:r>
    </w:p>
    <w:p>
      <w:pPr>
        <w:spacing w:after="60" w:line="300"/>
      </w:pPr>
      <w:r>
        <w:rPr>
          <w:rFonts w:ascii="Meiryo" w:cs="Meiryo" w:eastAsia="Meiryo" w:hAnsi="Meiryo"/>
          <w:sz w:val="19"/>
          <w:szCs w:val="19"/>
        </w:rPr>
        <w:t xml:space="preserve">(注) 年率とは、利息及び貸金業法第12条の8第2項に規定するみなし利息の総額（1年分に満たない利息及び同項に規定するみなし利息を元本に組み入れる契約がある場合にあっては、当該契約に基づき元本に組み入れられた金銭を含む。）を内閣府令で定める方法によって算出した元本の額で除して得た年率を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12】</w:t>
      </w:r>
    </w:p>
    <w:p>
      <w:pPr>
        <w:spacing w:after="80" w:line="300"/>
      </w:pPr>
      <w:r>
        <w:rPr>
          <w:rFonts w:ascii="Meiryo" w:cs="Meiryo" w:eastAsia="Meiryo" w:hAnsi="Meiryo"/>
          <w:sz w:val="21"/>
          <w:szCs w:val="21"/>
        </w:rPr>
        <w:t xml:space="preserve">次のａ～ｄの記述のうち、貸付けに係る契約を締結しようとする場合における貸金業法第16条の2第1項に規定する書面（契約締結前の書面）に記載し、明らかにしなければならない事項に該当するものの個数を①～④の中から1つだけ選び、解答欄にその番号をマークしなさい。なお、本問における貸付けに係る契約は、金銭の貸付けに係る契約であって、手形の割引の契約及び売渡担保の契約ではないものとする。</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契約申込年月日</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貸金業者の商号、名称又は氏名及び住所</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契約の相手方となろうとする者の商号、名称又は氏名及び住所</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保証人となろうとする者の商号、名称又は氏名及び住所</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1個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2個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3個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4個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13】</w:t>
      </w:r>
    </w:p>
    <w:p>
      <w:pPr>
        <w:spacing w:after="80" w:line="300"/>
      </w:pPr>
      <w:r>
        <w:rPr>
          <w:rFonts w:ascii="Meiryo" w:cs="Meiryo" w:eastAsia="Meiryo" w:hAnsi="Meiryo"/>
          <w:sz w:val="21"/>
          <w:szCs w:val="21"/>
        </w:rPr>
        <w:t xml:space="preserve">貸金業法第18条第1項に規定する書面（以下、本問において「受取証書」という。）の交付及び貸金業法第22条に規定する債権の証書（以下、本問において「債権証書」という。）の返還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は、その営業所の窓口において、貸付けに係る契約に基づく債権の全部について、当該契約の債務者から弁済を受けたときは、遅滞なく、内閣府令で定めるところにより、受取証書を当該債務者に交付し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者は、預金又は貯金の口座に対する払込みにより、貸付けに係る契約に基づく債権の全部について、当該契約の債務者から弁済を受けた場合、当該債務者の請求があったときに限り、受取証書を当該債務者に交付し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は、極度方式貸付けに係る契約に基づく債権の全部について、当該契約の債務者から弁済を受けた場合において、当該債務者の承諾を得て、内閣府令で定めるところにより、貸金業法第18条第3項に規定する一定期間における貸付け及び弁済その他の取引の状況を記載した書面（マンスリーステートメント）を交付するときは、弁済を受けた日から1か月以内に、受領年月日及び受領金額を記載した受取証書を当該債務者に交付し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は、貸付けに係る契約につき債権証書を有する場合において、当該契約に基づく債権の全部について、当該契約の債務者以外の第三者から弁済を受けたときは、当該契約の債務者の請求があったときに限り、債権証書を当該債務者に返還し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14】</w:t>
      </w:r>
    </w:p>
    <w:p>
      <w:pPr>
        <w:spacing w:after="80" w:line="300"/>
      </w:pPr>
      <w:r>
        <w:rPr>
          <w:rFonts w:ascii="Meiryo" w:cs="Meiryo" w:eastAsia="Meiryo" w:hAnsi="Meiryo"/>
          <w:sz w:val="21"/>
          <w:szCs w:val="21"/>
        </w:rPr>
        <w:t xml:space="preserve">次のａ～ｄの記述のうち、日本貸金業協会が定める貸金業の業務運営に関する自主規制基本規則において、協会員が取立て行為を行うにあたり、貸金業法第21条第1項に定める「威迫」及び「その他の人の私生活もしくは業務の平穏を害するような言動」に該当するおそれがあるとされているものの個数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多人数で訪問すること。例示として、3名以上が挙げられる。</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不適当な時期に取立ての行為を行うこと。例示として、親族の冠婚葬祭時等が挙げられる。</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反復継続した取立て行為を行うこと。例示として、電子メールや文書を用いた連絡を、前回送付又は送信から3日以内に行うこと等が挙げられる。</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親族又は第三者に対し、支払の要求をすること。例示として、支払申し出があった際、支払義務がないことを伝えないこと等が挙げられる。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1個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2個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3個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4個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15】</w:t>
      </w:r>
    </w:p>
    <w:p>
      <w:pPr>
        <w:spacing w:after="80" w:line="300"/>
      </w:pPr>
      <w:r>
        <w:rPr>
          <w:rFonts w:ascii="Meiryo" w:cs="Meiryo" w:eastAsia="Meiryo" w:hAnsi="Meiryo"/>
          <w:sz w:val="21"/>
          <w:szCs w:val="21"/>
        </w:rPr>
        <w:t xml:space="preserve">貸金業者に対する監督等に関する次の①～④の記述のうち、その内容が適切なものを1つだけ選び、解答欄にその番号をマークしなさい。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は、貸金業を休止した場合は、内閣府令で定めるところにより、その旨を貸金業の登録をした内閣総理大臣又は都道府県知事（以下、本問において「登録行政庁」という。）に届け出る必要はないが、貸金業を廃止した場合は、その旨を登録行政庁に届け出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登録行政庁は、貸金業者の営業所もしくは事務所の所在地又は当該貸金業者の所在（法人である場合においては、その役員の所在）を確知できない場合において、内閣府令で定めるところにより、その事実を公告し、その公告の日から2週間を経過しても当該貸金業者から申出がないときは、その登録を取り消すことができ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法第24条の6の12第1項に規定する監督を行うため、登録行政庁は、貸金業協会に加入していない貸金業者に対して、貸金業協会の定款、業務規程その他の規則を考慮し、当該貸金業者又はその役員もしくは使用人が遵守すべき規則の作成又は変更を命ずる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登録行政庁は、その登録を受けた貸金業者の業務の運営に関し、資金需要者等の利益の保護を図るため必要があると認めるときは、貸金業法その他の法令に違反する事実があると認定した上で、当該貸金業者に対して、業務の方法の変更その他業務の運営の改善に必要な措置を命じ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16】</w:t>
      </w:r>
    </w:p>
    <w:p>
      <w:pPr>
        <w:spacing w:after="80" w:line="300"/>
      </w:pPr>
      <w:r>
        <w:rPr>
          <w:rFonts w:ascii="Meiryo" w:cs="Meiryo" w:eastAsia="Meiryo" w:hAnsi="Meiryo"/>
          <w:sz w:val="21"/>
          <w:szCs w:val="21"/>
        </w:rPr>
        <w:t xml:space="preserve">Ａは貸金業者、ＢはＡの顧客、Ｃは保証業者である。保証料の制限等に関する次の①～④の記述のうち、利息制限法及び出資法(注)上、その内容が適切なものを1つだけ選び、解答欄にその番号をマークしなさい。なお、本問における営業的金銭消費貸借契約は、貸付期間を1年とし元利一括返済とする旨の約定がなされているものとす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は、Ｂとの間で、元本額100万円、利率年1割3分（13％）とする営業的金銭消費貸借契約を締結して100万円をＢに貸し付け、当該契約について、Ｃとの間で、保証契約を締結した。この場合において、ＣがＢとの間で締結する保証料の契約は、その保証料が20,000円を超えるときは、その契約の全部が無効とな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Ｂとの間で、元本額50万円、利率年1割4分（14％）とする営業的金銭消費貸借契約を締結して50万円をＢに貸し付け、当該契約について、Ｃとの間で、保証契約を締結した。その後、Ｃは、Ｂとの間で、ＣがＢから15,000円の保証料の支払を受ける旨の保証料の契約を締結した。この場合において、ＡとＢとの合意により、当該営業的金銭消費貸借契約の利息を利率年1割6分（16％）に変更したときは、当該変更後の利息の約定は、年1割5分（15％）を超える部分に限り無効とな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は、Ｂとの間で、元本額80万円とする営業的金銭消費貸借契約を締結して80万円をＢに貸し付け、ＢがＡに支払う利息を変動利率をもって定めた。Ａは、当該契約について、Ｃとの間で、保証契約を締結し、当該保証契約においてＡがＢから支払を受けることができる利息の利率の上限を年1割6分（16％）とする定めをし、当該定めをＢに通知した。この場合、Ｃは、Ｂとの間で保証料の契約を締結し、Ｂから、24,000円の範囲内で保証料の支払を受ける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Ｂとの間で、元本額20万円、利率年1割2分（12％）とする営業的金銭消費貸借契約を締結して20万円をＢに貸し付け、当該契約について、Ｃとの間で、保証契約を締結した。その後、Ｃは、Ｂとの間で、ＣがＢから20,000円の保証料の支払を受ける旨の保証料の契約を締結した。この場合、Ａ及びＣは、出資法上、刑事罰の対象となる。</w:t>
      </w:r>
    </w:p>
    <w:p>
      <w:pPr>
        <w:spacing w:after="60" w:line="300"/>
      </w:pPr>
      <w:r>
        <w:rPr>
          <w:rFonts w:ascii="Meiryo" w:cs="Meiryo" w:eastAsia="Meiryo" w:hAnsi="Meiryo"/>
          <w:sz w:val="19"/>
          <w:szCs w:val="19"/>
        </w:rPr>
        <w:t xml:space="preserve">(注) 出資法とは、出資の受入れ、預り金及び金利等の取締りに関する法律をいう。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17】</w:t>
      </w:r>
    </w:p>
    <w:p>
      <w:pPr>
        <w:spacing w:after="80" w:line="300"/>
      </w:pPr>
      <w:r>
        <w:rPr>
          <w:rFonts w:ascii="Meiryo" w:cs="Meiryo" w:eastAsia="Meiryo" w:hAnsi="Meiryo"/>
          <w:sz w:val="21"/>
          <w:szCs w:val="21"/>
        </w:rPr>
        <w:t xml:space="preserve">次の①～④の記述のうち、貸金業法第6条（登録の拒否）第1項各号のいずれにも該当しないものを1つだけ選び、解答欄にその番号をマークしなさい。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貸金業法第24条の6の4（監督上の処分）第1項の規定により貸金業の登録を取り消された株式会社の取締役を当該取消しの日の60日前に退任した者であって、当該取消しの日から5年を経過しないもの</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破産手続開始の決定を受けて復権を得ない者</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禁錮以上の刑に処せられ、その刑の執行を終わり、又は刑の執行を受けることがなくなった日から5年を経過しない者</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株式会社であって、再生手続開始の決定又は更生手続開始の決定のいずれも受けておらず、その純資産額が3,000万円である者</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18】</w:t>
      </w:r>
    </w:p>
    <w:p>
      <w:pPr>
        <w:spacing w:after="80" w:line="300"/>
      </w:pPr>
      <w:r>
        <w:rPr>
          <w:rFonts w:ascii="Meiryo" w:cs="Meiryo" w:eastAsia="Meiryo" w:hAnsi="Meiryo"/>
          <w:sz w:val="21"/>
          <w:szCs w:val="21"/>
        </w:rPr>
        <w:t xml:space="preserve">貸金業法第8条（変更の届出）に関する次の①～④の記述のうち、その内容が適切でないものを1つだけ選び、解答欄にその番号をマークしなさい。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は、その商号、名称又は氏名に変更があった場合、その日から2週間以内に、その旨を貸金業の登録を受けた内閣総理大臣又は都道府県知事（以下、本問において「登録行政庁」という。）に届け出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株式会社である貸金業者は、その取締役の氏名に変更があったときは、その日から2週間以内に、その旨を登録行政庁に届け出なければならない。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貸金業者は、営業所又は事務所に置いた貸金業務取扱主任者がその登録の更新を受けたときは、その日から2週間以内に、その旨を登録行政庁に届け出なければならない。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貸金業者は、その業務に関して広告又は勧誘をする際に表示等をする営業所又は事務所のホームページアドレスを変更しようとするときは、あらかじめ、その旨を登録行政庁に届け出なければならない。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19】</w:t>
      </w:r>
    </w:p>
    <w:p>
      <w:pPr>
        <w:spacing w:after="80" w:line="300"/>
      </w:pPr>
      <w:r>
        <w:rPr>
          <w:rFonts w:ascii="Meiryo" w:cs="Meiryo" w:eastAsia="Meiryo" w:hAnsi="Meiryo"/>
          <w:sz w:val="21"/>
          <w:szCs w:val="21"/>
        </w:rPr>
        <w:t xml:space="preserve">貸金業者向けの総合的な監督指針における反社会的勢力による被害の防止に関する次の①～④の記述のうち、その内容が適切でないものを1つだけ選び、解答欄にその番号をマークしなさい。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反社会的勢力による不当要求への対処として、反社会的勢力からの不当要求があった場合には積極的に警察・暴力追放運動推進センター・弁護士等の外部専門機関に相談するとともに、暴力追放運動推進センター等が示している不当要求対応要領等を踏まえた対応を行うこととしているか。特に、脅迫・暴力行為の危険性が高く緊急を要する場合には直ちに警察に通報を行うこととしている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反社会的勢力との関係を遮断するための対応を総括する部署において、反社会的勢力による被害を防止するための一元的な管理態勢が構築され、反社会的勢力に関する情報を積極的に収集・分析するとともに、当該情報を一元的に管理したデータベースを構築し、適切に更新する体制となっているか。ただし、当該情報の収集・分析等に際し、グループ内で情報の共有をすることは、個人情報の保護に関する法律への抵触を避けるために、行わないこととしている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反社会的勢力との取引を未然に防止するため、反社会的勢力に関する情報等を活用した適切な事前審査を実施するとともに、契約書や取引約款への暴力団排除条項の導入を徹底するなど、反社会的勢力が取引先となることを防止しているか。また、提携ローンについては、暴力団排除条項の導入を徹底の上、貸金業者が自ら事前審査を実施する体制を整備し、かつ、提携先の信販会社における暴力団排除条項の導入状況や反社会的勢力に関するデータベースの整備状況等を検証する態勢となっている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反社会的勢力との取引解消に向けた取組みとして、いかなる理由であれ、反社会的勢力であることが判明した場合には、資金提供や不適切・異例な取引を行わない態勢を整備しているか。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20】</w:t>
      </w:r>
    </w:p>
    <w:p>
      <w:pPr>
        <w:spacing w:after="80" w:line="300"/>
      </w:pPr>
      <w:r>
        <w:rPr>
          <w:rFonts w:ascii="Meiryo" w:cs="Meiryo" w:eastAsia="Meiryo" w:hAnsi="Meiryo"/>
          <w:sz w:val="21"/>
          <w:szCs w:val="21"/>
        </w:rPr>
        <w:t xml:space="preserve">貸金業者Ａは、貸付けに係る契約について、個人である保証人となろうとする者Ｂとの間で保証契約を締結しようとしている。この場合に関する次の①～④の記述のうち、その内容が適切でないものを1つだけ選び、解答欄にその番号をマークしなさい。なお、本問における貸金業者Ａは、非営利特例対象法人及び特定非営利金融法人ではないものとす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Ａは、Ｂとの間で保証契約を締結しようとする場合、Ｂの収入又は収益その他の資力、信用、借入れの状況、返済計画その他の返済能力に関する事項を調査しなければならない。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Ａは、Ｂとの間で保証契約を締結しようとする場合、Ｂの返済能力の調査を行うに際し、指定信用情報機関が保有する信用情報を使用しなければならない。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は、Ｂとの間で、貸付けの金額が100万円を超える貸付けに係る契約について保証契約を締結しようとする場合には、Ｂから、源泉徴収票その他のＢの収入又は収益その他の資力を明らかにする事項を記載し、又は記録した書面又は電磁的記録として内閣府令で定めるものの提出又は提供を受ける必要は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Ｂとの間で保証契約を締結した場合、内閣府令で定めるところにより、Ｂの返済能力の調査に関する記録を作成し、当該保証契約の解除の日又は当該保証契約に基づく債務が消滅した日のうちいずれか遅い日までの間、これを保存し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21】</w:t>
      </w:r>
    </w:p>
    <w:p>
      <w:pPr>
        <w:spacing w:after="80" w:line="300"/>
      </w:pPr>
      <w:r>
        <w:rPr>
          <w:rFonts w:ascii="Meiryo" w:cs="Meiryo" w:eastAsia="Meiryo" w:hAnsi="Meiryo"/>
          <w:sz w:val="21"/>
          <w:szCs w:val="21"/>
        </w:rPr>
        <w:t xml:space="preserve">次の①～④の記述のうち、貸金業法第13条の2（過剰貸付け等の禁止）第2項に規定する個人過剰貸付契約から除かれる契約として貸金業法施行規則第10条の21で定めるものに該当し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個人顧客又は当該個人顧客の親族で当該個人顧客と生計を一にする者の健康保険法第115条第1項及び第147条に規定する高額療養費を支払うために必要な資金の貸付けに係る契約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自動車の購入に必要な資金の貸付けに係る契約のうち、当該自動車の所有権を貸金業者が取得し、又は当該自動車が譲渡により担保の目的となっているもの</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個人顧客のために担保を提供する者の居宅を担保とする貸付けに係る契約であって、当該個人顧客の返済能力を超えないと認められるもの（貸付けの金額が当該貸付けに係る契約の締結時における当該居宅の価格の範囲内であるものに限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手形の割引を内容とする契約であって、割引の対象となる手形が融通手形ではないもの</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22】</w:t>
      </w:r>
    </w:p>
    <w:p>
      <w:pPr>
        <w:spacing w:after="80" w:line="300"/>
      </w:pPr>
      <w:r>
        <w:rPr>
          <w:rFonts w:ascii="Meiryo" w:cs="Meiryo" w:eastAsia="Meiryo" w:hAnsi="Meiryo"/>
          <w:sz w:val="21"/>
          <w:szCs w:val="21"/>
        </w:rPr>
        <w:t xml:space="preserve">保証契約を締結する場合の書面の交付に関する次の①～④の記述のうち、その内容が適切でないものを1つだけ選び、解答欄にその番号をマークしなさい。なお、本問における貸付けに係る契約は、金銭の貸付けに係る契約であって、極度方式基本契約、極度方式貸付けに係る契約、手形の割引の契約及び売渡担保の契約ではないものとす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は、貸付けに係る契約について保証契約を締結しようとする場合には、当該保証契約を締結するまでに、内閣府令で定めるところにより、貸金業法第16条の2第3項に規定する書面について、貸金業法施行規則第12条の2第6項の規定に基づき当該保証契約の概要を記載した書面及び詳細を記載した書面の2種類の書面を同時に、当該保証契約の保証人となろうとする者に交付し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者は、貸付けに係る契約について保証契約を締結したときは、遅滞なく、内閣府令で定めるところにより、貸金業法第17条第3項前段に規定する書面（以下、本問において「保証契約における契約締結時の書面」という。）に加えて、貸金業法第17条第1項各号に掲げる事項について当該貸付けに係る契約の内容を明らかにする書面を当該保証契約の保証人に交付し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は、貸付けに係る契約について保証契約を締結したときは、遅滞なく、内閣府令で定めるところにより、貸金業法第17条第1項各号に掲げる事項について当該貸付けに係る契約の内容を明らかにする書面に加えて、保証契約における契約締結時の書面を当該貸付けに係る契約の相手方に交付し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は、貸付けに係る契約について保証契約を締結した後に当該保証契約における保証期間を変更した場合、当該変更が当該保証契約の保証人の利益となる変更であるときを除き、変更後の保証期間が記載された保証契約における契約締結時の書面を当該保証人に再交付し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23】</w:t>
      </w:r>
    </w:p>
    <w:p>
      <w:pPr>
        <w:spacing w:after="80" w:line="300"/>
      </w:pPr>
      <w:r>
        <w:rPr>
          <w:rFonts w:ascii="Meiryo" w:cs="Meiryo" w:eastAsia="Meiryo" w:hAnsi="Meiryo"/>
          <w:sz w:val="21"/>
          <w:szCs w:val="21"/>
        </w:rPr>
        <w:t xml:space="preserve">貸金業者Ａが、個人顧客Ｂとの間で貸付けに係る契約を締結し金銭をＢに貸し付け、Ｂに貸金業法第17条第1項に規定する書面（以下、本問において「契約締結時の書面」という。）を交付した後に、Ｂとの合意に基づき契約締結時の書面に記載した事項を変更した。この場合に関する次の①～④の記述のうち、その内容が適切でないものを1つだけ選び、解答欄にその番号をマークしなさい。なお、本問における貸付けに係る契約は、金銭の貸付けに係る契約であって、極度方式基本契約、極度方式貸付けに係る契約、手形の割引の契約及び売渡担保の契約ではないものとす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Ａは、「貸付けの利率」を引き上げた場合、変更後の内容を記載した契約締結時の書面をＢに再交付しなければならない。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Ａは、「返済の方式」を変更した場合、変更後の内容を記載した契約締結時の書面をＢに再交付しなければならない。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Ａは、「返済の方法及び返済を受ける場所」を変更した場合、当該変更がＢの利益となるか否かを問わず、変更後の内容を記載した契約締結時の書面をＢに再交付しなければならない。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契約上、返済期日前の返済ができるか否か及び返済ができるときはその内容」を変更した場合、当該変更がＢの利益となるか否かを問わず、変更後の内容を記載した契約締結時の書面をＢに再交付し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24】</w:t>
      </w:r>
    </w:p>
    <w:p>
      <w:pPr>
        <w:spacing w:after="80" w:line="300"/>
      </w:pPr>
      <w:r>
        <w:rPr>
          <w:rFonts w:ascii="Meiryo" w:cs="Meiryo" w:eastAsia="Meiryo" w:hAnsi="Meiryo"/>
          <w:sz w:val="21"/>
          <w:szCs w:val="21"/>
        </w:rPr>
        <w:t xml:space="preserve">貸金業者が貸金業法に基づき保存すべきものに関する次の①～④の記述のうち、その内容が適切でないものを1つだけ選び、解答欄にその番号をマークしなさい。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貸金業者は、貸金業法第12条の4（証明書の携帯等）第2項に規定する従業者名簿を、最終の記載をした日から10年間保存しなければならない。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者は、貸金業法施行規則第10条の21（個人過剰貸付契約から除かれる契約）第1項第1号に規定する不動産の建設又は不動産の改良に必要な資金の貸付けに係る契約（極度方式基本契約及び極度方式貸付けに係る契約ではないものとする。）を締結した場合には、不動産の建設工事の請負契約書その他の締結した契約が当該規定に掲げる契約に該当することを証明する書面又はそれらの写しを、当該貸付けに係る契約に定められた最終の返済期日（当該貸付けに係る契約に基づく債権が弁済その他の事由により消滅したときにあっては、当該債権の消滅した日）までの間保存し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は、個人顧客との間で締結した極度方式基本契約が基準額超過極度方式基本契約に該当するかどうかの調査をした場合、内閣府令で定めるところにより、当該調査に関する記録を作成し、これを当該極度方式基本契約に基づくすべての極度方式貸付けに係る契約に定められた最終の返済期日のうち最後のものが到来する日（これらの契約に基づく債権のすべてが弁済その他の事由により消滅したときは、その消滅した日）までの間保存し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は、極度方式基本契約を締結した場合には、貸金業法第19条に規定する帳簿を、当該極度方式基本契約及び当該極度方式基本契約に基づくすべての極度方式貸付けに係る契約について、当該極度方式基本契約の解除の日又はこれらの契約に定められた最終の返済期日のうち最後のもの（これらの契約に基づく債権のすべてが弁済その他の事由により消滅したときにあっては、その消滅した日）のうちいずれか遅い日から少なくとも10年間保存し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25】</w:t>
      </w:r>
    </w:p>
    <w:p>
      <w:pPr>
        <w:spacing w:after="80" w:line="300"/>
      </w:pPr>
      <w:r>
        <w:rPr>
          <w:rFonts w:ascii="Meiryo" w:cs="Meiryo" w:eastAsia="Meiryo" w:hAnsi="Meiryo"/>
          <w:sz w:val="21"/>
          <w:szCs w:val="21"/>
        </w:rPr>
        <w:t xml:space="preserve">貸金業者向けの総合的な監督指針（以下、本問において「監督指針」という。）における不祥事件に対する監督上の対応に関する次の①～④の記述のうち、その内容が監督指針の記載に合致し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監督当局は、貸金業者において不祥事件が発覚し、当該貸金業者から第一報があった場合において、刑罰法令に抵触しているおそれのある事実が認められたときは、直ちに、当該貸金業者の営業所等への立入検査を実施し、警察等関係機関等への通報を行うに当たって必要となる不祥事件に関する証拠保全が実施されていることを確認するものとす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監督当局は、不祥事件と貸金業者の業務の適切性の関係については、「不祥事件の発覚後の対応は適切か」、「不祥事件への経営陣の関与はないか、組織的な関与はないか」、「不祥事件の内容が資金需要者等に与える影響はどうか」、「内部牽制機能が適切に発揮されているか」、「再発防止のための改善策の策定や自浄機能は十分か、関係者の責任の追及は明確に行われているか」、「資金需要者等に対する説明や問い合わせへの対応等は適切か」の着眼点に基づき検証を行うこととす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監督当局は、不祥事件の届出があった場合には、事実関係（当該行為が発生した営業所等、当該行為者の氏名・職名・職歴（貸金業務取扱主任者である場合にはその旨）、当該行為の概要、発覚年月日、発生期間、発覚の端緒）、発生原因分析、改善・対応策等について深度あるヒアリングを実施し、必要に応じて貸金業法第24条の6の10に基づき報告書を徴収することにより、貸金業者の自主的な業務改善状況を把握することとす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監督当局は、不祥事件の届出があった場合において、資金需要者等の利益の保護の観点から重大な問題があると認められるときには、貸金業者に対して、貸金業法第24条の6の3の規定に基づく業務改善命令を発出することとする。また、重大・悪質な法令違反行為が認められるときには、貸金業法第24条の6の4に基づく業務停止命令等の発出を検討するものとす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26】</w:t>
      </w:r>
    </w:p>
    <w:p>
      <w:pPr>
        <w:spacing w:after="80" w:line="300"/>
      </w:pPr>
      <w:r>
        <w:rPr>
          <w:rFonts w:ascii="Meiryo" w:cs="Meiryo" w:eastAsia="Meiryo" w:hAnsi="Meiryo"/>
          <w:sz w:val="21"/>
          <w:szCs w:val="21"/>
        </w:rPr>
        <w:t xml:space="preserve">貸金業法第41条の35（個人信用情報の提供）及び同法第41条の36（指定信用情報機関への信用情報の提供等に係る同意の取得等）に関する次の①～④の記述のうち、その内容が適切でないものを1つだけ選び、解答欄にその番号をマークしなさい。なお、本問における貸金業者は、非営利特例対象法人及び特定非営利金融法人ではないものとす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加入貸金業者(注1)は、資金需要者である個人の顧客を相手方とする極度方式基本契約を締結したときは、遅滞なく、当該極度方式基本契約に係る個人信用情報を加入指定信用情報機関(注2)に提供し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加入貸金業者は、加入指定信用情報機関に資金需要者等に係る信用情報の提供の依頼（当該資金需要者等に係る他の指定信用情報機関が保有する個人信用情報の提供の依頼を含む。）をする場合には、内閣府令で定める場合を除き、あらかじめ、当該資金需要者等から書面又は電磁的方法による同意を得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加入貸金業者は、資金需要者である個人の顧客を相手方とする貸付けに係る契約を締結し、当該貸付けに係る契約に係る個人信用情報を加入指定信用情報機関に提供した後、当該提供した個人信用情報に変更があった場合には、遅滞なく、その変更内容を当該指定信用情報機関に提供し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加入貸金業者は、貸金業法第41条の36第3項及び貸金業法施行規則第30条の15（信用情報の提供等に係る配偶者の同意の取得等）第3項に規定する同意に関する記録を、当該同意に基づき指定信用情報機関が信用情報を保有している間保存しなければならない。</w:t>
      </w:r>
    </w:p>
    <w:p>
      <w:pPr>
        <w:spacing w:after="60" w:line="300"/>
      </w:pPr>
      <w:r>
        <w:rPr>
          <w:rFonts w:ascii="Meiryo" w:cs="Meiryo" w:eastAsia="Meiryo" w:hAnsi="Meiryo"/>
          <w:sz w:val="19"/>
          <w:szCs w:val="19"/>
        </w:rPr>
        <w:t xml:space="preserve">(注1)加入貸金業者とは、指定信用情報機関と信用情報提供契約を締結した相手方である貸金業者をいう。(注2)加入指定信用情報機関とは、加入貸金業者と信用情報提供契約を締結した指定信用情報機関を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27】</w:t>
      </w:r>
    </w:p>
    <w:p>
      <w:pPr>
        <w:spacing w:after="80" w:line="300"/>
      </w:pPr>
      <w:r>
        <w:rPr>
          <w:rFonts w:ascii="Meiryo" w:cs="Meiryo" w:eastAsia="Meiryo" w:hAnsi="Meiryo"/>
          <w:sz w:val="21"/>
          <w:szCs w:val="21"/>
        </w:rPr>
        <w:t xml:space="preserve">みなし利息に関する次の①～④の記述のうち、利息制限法上、その内容が適切でないものを1つだけ選び、解答欄にその番号をマークしなさい。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は、Ｂとの間で締結した営業的金銭消費貸借契約において、Ｂが金銭の受領又は弁済のために利用する現金自動支払機その他の機械の利用料として、10,000円の弁済を受ける際に110円（消費税額等相当額を含む。）をＢから受領した。この場合、当該利用料は、利息とみなされ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Ｂとの間で締結した営業的金銭消費貸借契約において、金銭の貸付け及び弁済に用いるためＢに交付したカードのＢの要請に基づく再発行の手数料（消費税額等相当額を含む。）をＢから受領した。この場合、当該手数料は、利息とみなされ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は、Ｂとの間で締結した営業的金銭消費貸借契約において、貸金業法第17条第1項に規定する契約締結時の書面をＢに交付した後、各回の返済期日及び返済金額の変更を行ったため、変更後の契約締結時の書面を作成しＢに再交付した費用（消費税額等相当額を含む。）をＢから受領した。この場合、当該費用は、利息とみなされ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Ｂとの間で締結した営業的金銭消費貸借契約において、口座振替の方法による弁済につき、Ｂが弁済期に弁済できなかったため、Ｂの要請を受けて行った再度の口座振替手続に要した費用（消費税額等相当額を含む。）をＢから受領した。この場合、当該費用は、利息とみなされる。</w:t>
      </w:r>
    </w:p>
    <w:p>
      <w:pPr>
        <w:spacing w:after="150" w:line="300"/>
      </w:pPr>
      <w:r>
        <w:rPr>
          <w:rFonts w:ascii="Meiryo" w:cs="Meiryo" w:eastAsia="Meiryo" w:hAnsi="Meiryo"/>
          <w:sz w:val="21"/>
          <w:szCs w:val="21"/>
        </w:rPr>
        <w:t xml:space="preserve"/>
      </w:r>
    </w:p>
    <w:p>
      <w:pPr>
        <w:spacing w:after="120" w:line="300"/>
      </w:pPr>
      <w:r>
        <w:rPr>
          <w:rFonts w:ascii="Meiryo" w:cs="Meiryo" w:eastAsia="Meiryo" w:hAnsi="Meiryo"/>
          <w:b/>
          <w:bCs/>
          <w:color w:val="0A5A2C"/>
          <w:sz w:val="23"/>
          <w:szCs w:val="23"/>
        </w:rPr>
        <w:t xml:space="preserve">貸付実務</w:t>
      </w:r>
    </w:p>
    <w:p>
      <w:pPr>
        <w:spacing w:after="60" w:line="300"/>
      </w:pPr>
      <w:r>
        <w:rPr>
          <w:rFonts w:ascii="Meiryo" w:cs="Meiryo" w:eastAsia="Meiryo" w:hAnsi="Meiryo"/>
          <w:b/>
          <w:bCs/>
          <w:sz w:val="21"/>
          <w:szCs w:val="21"/>
        </w:rPr>
        <w:t xml:space="preserve">【問題 28】</w:t>
      </w:r>
    </w:p>
    <w:p>
      <w:pPr>
        <w:spacing w:after="80" w:line="300"/>
      </w:pPr>
      <w:r>
        <w:rPr>
          <w:rFonts w:ascii="Meiryo" w:cs="Meiryo" w:eastAsia="Meiryo" w:hAnsi="Meiryo"/>
          <w:sz w:val="21"/>
          <w:szCs w:val="21"/>
        </w:rPr>
        <w:t xml:space="preserve">意思能力及び行為能力に関する次の①～④の記述のうち、民法上、その内容が適切なものを1つだけ選び、解答欄にその番号をマークしなさい。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成年被後見人の法律行為は、その成年後見人の同意を得て行われたときは、取り消すことができない。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制限行為能力者が行為能力者であることを信じさせるため詐術を用いたときは、当該制限行為能力者の法定代理人はその行為を取り消すことができるが、当該制限行為能力者はその行為を取り消すことができ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未成年者は、一種又は数種の営業を許されたときは、これによって成年に達したものとみなされる。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法律行為の当事者が意思表示をした時に意思能力を有しなかったときは、その法律行為は、無効とする。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29】</w:t>
      </w:r>
    </w:p>
    <w:p>
      <w:pPr>
        <w:spacing w:after="80" w:line="300"/>
      </w:pPr>
      <w:r>
        <w:rPr>
          <w:rFonts w:ascii="Meiryo" w:cs="Meiryo" w:eastAsia="Meiryo" w:hAnsi="Meiryo"/>
          <w:sz w:val="21"/>
          <w:szCs w:val="21"/>
        </w:rPr>
        <w:t xml:space="preserve">意思表示に関する次の①～④の記述のうち、民法上、その内容が適切なものを1つだけ選び、解答欄にその番号をマークしなさい。なお、本問における契約等は、2020年4月1日以降に行われているものとする。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は、Ｂとの間で、実際には甲建物をＢに売却するつもりであるのに、誤って自己が所有する乙建物をＢに売却する旨の契約を締結した。この場合において、ＢがＡに錯誤があることを知っていたときは、Ａに重大な過失があったとしても、Ａは、錯誤による意思表示を理由として、当該契約を取り消すことができ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第三者Ｃの詐欺により、Ｂとの間で、甲建物をＢに売却する旨の契約を締結した。この場合において、Ｂが、Ｃによる詐欺の事実を知らず、かつ、知ることができなかったとしても、Ａは、詐欺による意思表示を理由として、当該契約を取り消すことができ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は、Ｂの強迫により、Ｂとの間でＢに甲建物を売却する旨の売買契約を締結し、ＡからＢへの甲建物の所有権移転登記を経た後、Ｂは、この事情を知らず、かつ、知らないことに過失のない第三者Ｃに甲建物を売却した。その後、Ａは、強迫による意思表示を理由としてAB間の売買契約を取り消した。この場合、Ａは、その取消しをＣに対抗することができ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実際には甲建物をＢに売却する意思がないのに、Ｂと通謀して、Ｂに甲建物を売却する旨の虚偽の売買契約を締結し、ＡからＢへの甲建物の所有権移転登記を経た。その後、Ｂは、この事情を知っている第三者Ｃに甲建物を売却した。この場合、Ａは、Ｃに対し、AB間の売買契約が虚偽表示により無効であることを主張することができ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30】</w:t>
      </w:r>
    </w:p>
    <w:p>
      <w:pPr>
        <w:spacing w:after="80" w:line="300"/>
      </w:pPr>
      <w:r>
        <w:rPr>
          <w:rFonts w:ascii="Meiryo" w:cs="Meiryo" w:eastAsia="Meiryo" w:hAnsi="Meiryo"/>
          <w:sz w:val="21"/>
          <w:szCs w:val="21"/>
        </w:rPr>
        <w:t xml:space="preserve">無効及び取消しに関する次の①～④の記述のうち、民法上、その内容が適切なものを1つだけ選び、解答欄にその番号をマークしなさい。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無効な行為は、当事者がその行為の無効であることを知って追認をしたときは、初めから有効であったものとみなされる。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行為能力の制限によって取り消すことができる行為は、制限行為能力者（他の制限行為能力者の法定代理人としてした行為にあっては、当該他の制限行為能力者を含む。）又はその代理人、承継人もしくは同意をすることができる者に限り、取り消すことができ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制限行為能力を理由に法律行為が取り消された場合、当該法律行為は取消しがあった時から将来に向かって無効となる。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取消権は、追認をすることができる時から3年間行使しないときは、時効によって消滅する。行為の時から5年を経過したときも、同様である。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31】</w:t>
      </w:r>
    </w:p>
    <w:p>
      <w:pPr>
        <w:spacing w:after="80" w:line="300"/>
      </w:pPr>
      <w:r>
        <w:rPr>
          <w:rFonts w:ascii="Meiryo" w:cs="Meiryo" w:eastAsia="Meiryo" w:hAnsi="Meiryo"/>
          <w:sz w:val="21"/>
          <w:szCs w:val="21"/>
        </w:rPr>
        <w:t xml:space="preserve">抵当権に関する次の①～④の記述のうち、民法上、その内容が適切なものを1つだけ選び、解答欄にその番号をマークしなさい。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土地に設定された抵当権の効力は、当該抵当権の目的である土地の上に存する建物及び当該土地に付加して一体となっている物に及ぶ。</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同一の不動産について数個の抵当権が設定されたときは、その抵当権の順位は、抵当権設定契約の締結日付の先後による。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抵当権者は、その抵当権を他の債権の担保とし、又は同一の債務者に対する他の債権者の利益のためにその抵当権もしくはその順位を譲渡し、もしくは放棄することができる。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抵当権は、債務者及び抵当権設定者に対し、その担保する債権とは別に、時効によって消滅する。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32】</w:t>
      </w:r>
    </w:p>
    <w:p>
      <w:pPr>
        <w:spacing w:after="80" w:line="300"/>
      </w:pPr>
      <w:r>
        <w:rPr>
          <w:rFonts w:ascii="Meiryo" w:cs="Meiryo" w:eastAsia="Meiryo" w:hAnsi="Meiryo"/>
          <w:sz w:val="21"/>
          <w:szCs w:val="21"/>
        </w:rPr>
        <w:t xml:space="preserve">債権の目的及び効力に関する次の①～④の記述のうち、民法上、その内容が適切なものを1つだけ選び、解答欄にその番号をマークしなさい。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債務の不履行に対する損害賠償の請求は、これによって通常生ずべき損害の賠償をさせることをその目的とする。特別の事情によって生じた損害は、当事者がその事情を予見すべきであったときは、債権者は、その賠償を請求することができ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債務の履行について不確定期限があるときは、債務者は、その期限の到来したことを知り、かつ、債権者からその履行の請求を受けた時から遅滞の責任を負う。</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債務の不履行又はこれによる損害の発生もしくは拡大に関して債権者に過失があったときでも、裁判所は、これを考慮して、損害賠償の責任及びその額を減免することはできない。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利息を生ずべき債権について別段の意思表示がないときは、その利率は、年5分となる。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33】</w:t>
      </w:r>
    </w:p>
    <w:p>
      <w:pPr>
        <w:spacing w:after="80" w:line="300"/>
      </w:pPr>
      <w:r>
        <w:rPr>
          <w:rFonts w:ascii="Meiryo" w:cs="Meiryo" w:eastAsia="Meiryo" w:hAnsi="Meiryo"/>
          <w:sz w:val="21"/>
          <w:szCs w:val="21"/>
        </w:rPr>
        <w:t xml:space="preserve">ＡのＢに対する金銭債権を「甲債権」とし、ＢのＡに対する金銭債権を「乙債権」とする。甲債権と乙債権との相殺に関する次の①～④の記述のうち、民法及び破産法上、その内容が適切なものを1つだけ選び、解答欄にその番号をマークしなさい。なお、甲債権及び乙債権は、2020年4月1日以降に生じたものとす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甲債権の弁済期が10月15日であり、乙債権の弁済期が同年11月1日である場合、同年10月15日の時点においては、乙債権の弁済期が到来していないため、Ａは、甲債権と乙債権とを相殺することができない。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甲債権が時効によって消滅した後は、甲債権が時効により消滅する以前に、甲債権と乙債権とが相殺に適するようになっていたときであっても、Ａは、甲債権と乙債権とを相殺することができない。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に対して金銭債権を有するＣの申立てに基づき甲債権が差し押さえられ、その差押命令がＢに送達されていた場合において、Ｂが乙債権を当該差押命令の送達後に取得したときは、Ｂは、甲債権と乙債権との相殺をもってＣに対抗する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が破産債権者であり、Ｂが破産者である場合において、Ａが甲債権を破産手続開始前に取得し、Ｂが乙債権を破産手続開始前に取得していたときは、Ａは、破産手続によらないで、甲債権と乙債権とを相殺することができ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34】</w:t>
      </w:r>
    </w:p>
    <w:p>
      <w:pPr>
        <w:spacing w:after="80" w:line="300"/>
      </w:pPr>
      <w:r>
        <w:rPr>
          <w:rFonts w:ascii="Meiryo" w:cs="Meiryo" w:eastAsia="Meiryo" w:hAnsi="Meiryo"/>
          <w:sz w:val="21"/>
          <w:szCs w:val="21"/>
        </w:rPr>
        <w:t xml:space="preserve">相続に関する次の①～④の記述のうち、民法上、その内容が適切なものを1つだけ選び、解答欄にその番号をマークしなさい。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被相続人の子が、民法第891条（相続人の欠格事由）の規定に該当したことにより相続人となることができなくなったときは、その者の子は、被相続人の直系卑属であっても、その者を代襲して相続人となることができ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被相続人の配偶者及び被相続人の兄弟姉妹が相続人である場合、当該兄弟姉妹の法定相続分は、3分の1である。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被相続人の配偶者のみが相続人となる場合、当該配偶者は、遺留分として、被相続人の財産の2分の1に相当する額を受ける。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相続人は、自己のために相続の開始があったことを知った時から6か月以内に、相続について、単純もしくは限定の承認又は放棄をしなければならない。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35】</w:t>
      </w:r>
    </w:p>
    <w:p>
      <w:pPr>
        <w:spacing w:after="80" w:line="300"/>
      </w:pPr>
      <w:r>
        <w:rPr>
          <w:rFonts w:ascii="Meiryo" w:cs="Meiryo" w:eastAsia="Meiryo" w:hAnsi="Meiryo"/>
          <w:sz w:val="21"/>
          <w:szCs w:val="21"/>
        </w:rPr>
        <w:t xml:space="preserve">手形法及び電子記録債権法に関する次の①～④の記述のうち、その内容が適切なものを1つだけ選び、解答欄にその番号をマークしなさい。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強迫によって振り出された約束手形を裏書により譲り受けた所持人は、当該事情を知っていた。この場合、当該約束手形の振出人は、当該所持人から手形金の支払を請求されたときは、強迫を理由とする手形行為取消しの抗弁をもって、当該所持人に対抗することができ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満期において手形金の支払がないときは、約束手形の所持人は、裏書人、振出人その他の債務者に対してその遡求権を行使することができるが、満期前においては、たとえ支払の全部又は一部の拒絶があっても、遡求権を行使することができ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電子記録債権の譲渡は、当事者間の合意のみによってその効力を生じるが、譲渡記録をしなければ、これを第三者に対抗できない。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電子記録名義人に対してした電子記録債権についての支払は、当該電子記録名義人がその支払を受ける権利を有しない場合であっても、その効力を有する。ただし、その支払をした者に悪意又は重大な過失があるときは、この限りで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36】</w:t>
      </w:r>
    </w:p>
    <w:p>
      <w:pPr>
        <w:spacing w:after="80" w:line="300"/>
      </w:pPr>
      <w:r>
        <w:rPr>
          <w:rFonts w:ascii="Meiryo" w:cs="Meiryo" w:eastAsia="Meiryo" w:hAnsi="Meiryo"/>
          <w:sz w:val="21"/>
          <w:szCs w:val="21"/>
        </w:rPr>
        <w:t xml:space="preserve">犯罪による収益の移転防止に関する法律（以下、本問において「犯罪収益移転防止法」という。）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が、株式会社（「外国に本店又は主たる事務所を有する法人」ではないものとする。）である顧客の取引時確認として確認しなければならない事項である事業の内容の確認方法には、当該取引時確認をする日前1年以内に作成された当該株式会社の設立の登記に係る登記事項証明書又はその写しを確認する方法があ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者は、取引時確認を行った場合には、直ちに、主務省令で定める方法により、当該取引時確認に係る事項、当該取引時確認のためにとった措置その他の主務省令で定める事項に関する記録（以下、本問において「確認記録」という。）を作成しなければならない。貸金業者は、確認記録を、特定取引等に係る契約が終了した日その他の主務省令で定める日から、3年間保存し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は、特定業務に係る取引を行った場合には、少額の取引その他の政令で定める取引を除き、直ちに、主務省令で定める方法により、顧客等の確認記録を検索するための事項、当該取引の期日及び内容その他の主務省令で定める事項に関する記録（以下、本問において「取引記録」という。）を作成し、取引記録を、当該取引の行われた日から7年間保存し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その役員及び使用人を含む。）は、犯罪収益移転防止法第8条第1項の規定による届出（以下、本問において「疑わしい取引の届出」という。）を行おうとすること又は行ったことを当該疑わしい取引の届出に係る顧客等又はその者の関係者に開示することができ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37】</w:t>
      </w:r>
    </w:p>
    <w:p>
      <w:pPr>
        <w:spacing w:after="80" w:line="300"/>
      </w:pPr>
      <w:r>
        <w:rPr>
          <w:rFonts w:ascii="Meiryo" w:cs="Meiryo" w:eastAsia="Meiryo" w:hAnsi="Meiryo"/>
          <w:sz w:val="21"/>
          <w:szCs w:val="21"/>
        </w:rPr>
        <w:t xml:space="preserve">代理に関する次の①～④の記述のうち、民法上、その内容が適切でないものを1つだけ選び、解答欄にその番号をマークしなさい。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代理人がその権限内において本人のためにすることを示してした意思表示は、本人が事前にこれを承認し、又は事後にこれを追認しなければ、本人に対してその効力を生じない。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法定代理人は、自己の責任で復代理人を選任することができる。この場合において、やむを得ない事由があるときは、本人に対してその選任及び監督についての責任のみを負う。</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代理権は、本人の死亡によって消滅する。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他人に代理権を与えた者は、代理権の消滅後にその代理権の範囲内においてその他人が第三者との間でした行為について、代理権の消滅の事実を知らなかった第三者に対してその責任を負う。ただし、第三者が過失によってその事実を知らなかったときは、この限りで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38】</w:t>
      </w:r>
    </w:p>
    <w:p>
      <w:pPr>
        <w:spacing w:after="80" w:line="300"/>
      </w:pPr>
      <w:r>
        <w:rPr>
          <w:rFonts w:ascii="Meiryo" w:cs="Meiryo" w:eastAsia="Meiryo" w:hAnsi="Meiryo"/>
          <w:sz w:val="21"/>
          <w:szCs w:val="21"/>
        </w:rPr>
        <w:t xml:space="preserve">時効に関する次の①～④の記述のうち、民法上、その内容が適切でないものを1つだけ選び、解答欄にその番号をマークしなさい。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裁判上の請求がなされた場合において、確定判決又は確定判決と同一の効力を有するものによって権利が確定したときは、時効は、裁判上の請求が終了した時から新たにその進行を始める。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強制執行が申し立てられた場合において、当該申立ての取下げ又は法律の規定に従わないことによる取消しによって強制執行が終了したときは、その終了の時から6か月を経過するまでの間は、時効は、完成し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仮差押えが申し立てられた場合、仮差押えは時効の更新事由に該当するため、時効は、仮差押えが終了した時から新たにその進行を始める。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債権者が権利を行使することができることを知った時から5年間行使しないとき、又は権利を行使することができる時から10年間行使しないときは、債権は、時効によって消滅する。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39】</w:t>
      </w:r>
    </w:p>
    <w:p>
      <w:pPr>
        <w:spacing w:after="80" w:line="300"/>
      </w:pPr>
      <w:r>
        <w:rPr>
          <w:rFonts w:ascii="Meiryo" w:cs="Meiryo" w:eastAsia="Meiryo" w:hAnsi="Meiryo"/>
          <w:sz w:val="21"/>
          <w:szCs w:val="21"/>
        </w:rPr>
        <w:t xml:space="preserve">Ａは貸金業者、Ｂは個人事業主である借主、ＣはＢの子でありＢと共同して事業を行っていない保証人である。保証に関する次の①～④の記述のうち、民法上、その内容が適切でないものを1つだけ選び、解答欄にその番号をマークしなさい。なお、本問における契約等は、2020年4月1日以降に行われているものとす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が、Ｂの事業資金を融資するに当たってＣとの間で保証契約を締結するに先立ち、Ｃの保証債務を履行する意思を表示するために作成しなければならない公正証書は、Ｂが主たる債務を履行しないときにＣがその全額について履行する意思を表示した文書をＣが作成し、公証人がその内容を認証して署名押印する方式に従って作成され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Ｂとの間で貸付契約を締結し、当該契約につきＣとの間で保証契約を締結した。ＢがＡに対して負う貸付金の返還債務について期限の利益を喪失した場合において、Ａは、Ｃに対し、その利益の喪失を知った時から2か月を超えてもその旨を通知しなかったときは、Ｂが期限の利益を喪失した時から当該通知を現にするまでに生じた遅延損害金（期限の利益を喪失しなかったとしても生ずべきものを除く。）に係る保証債務の履行を請求することができ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は、Ｂとの間で、Ｂの事業資金を融資する目的で極度方式基本契約を締結し、当該契約につき、Ｃとの間で個人根保証契約を締結しようとする場合、当該個人根保証契約の締結に先立ち、その締結の日前1か月以内に作成された公正証書でＣが保証債務を履行する意思を表示していなければ、当該個人根保証契約はその効力を生じ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が、Ｂとの間で、Ｂの事業資金を融資する目的で極度方式基本契約を締結し、当該契約に基づく不特定の債務を主たる債務とする根保証をＢがＣに委託するときは、Ｂは、Ｃに対し、「財産及び収支の状況」、「主たる債務以外に負担している債務の有無並びにその額及び履行状況」、「主たる債務の担保として他に提供し、又は提供しようとするものがあるときは、その旨及びその内容」に関する情報を提供し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40】</w:t>
      </w:r>
    </w:p>
    <w:p>
      <w:pPr>
        <w:spacing w:after="80" w:line="300"/>
      </w:pPr>
      <w:r>
        <w:rPr>
          <w:rFonts w:ascii="Meiryo" w:cs="Meiryo" w:eastAsia="Meiryo" w:hAnsi="Meiryo"/>
          <w:sz w:val="21"/>
          <w:szCs w:val="21"/>
        </w:rPr>
        <w:t xml:space="preserve">弁済に関する次の①～④の記述のうち、民法上、その内容が適切でないものを1つだけ選び、解答欄にその番号をマークしなさい。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債務者が債権者に対して債務の弁済をしたときは、その債権は、消滅する。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弁済をするについて正当な利益を有する者でない第三者は、債権者及び債務者のいずれの意思にも反しない場合であっても、弁済をすることはできない。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弁済をすべき場所について別段の意思表示がないときは、特定物の引渡しは債権発生の時にその物が存在した場所において、その他の弁済は債権者の現在の住所において、それぞれしなければならない。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債務者は、弁済の提供の時から、債務を履行しないことによって生ずべき責任を免れる。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41】</w:t>
      </w:r>
    </w:p>
    <w:p>
      <w:pPr>
        <w:spacing w:after="80" w:line="300"/>
      </w:pPr>
      <w:r>
        <w:rPr>
          <w:rFonts w:ascii="Meiryo" w:cs="Meiryo" w:eastAsia="Meiryo" w:hAnsi="Meiryo"/>
          <w:sz w:val="21"/>
          <w:szCs w:val="21"/>
        </w:rPr>
        <w:t xml:space="preserve">消費貸借契約に関する次の①～④の記述のうち、民法上、その内容が適切でないものを1つだけ選び、解答欄にその番号をマークしなさい。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借主は、返還の時期の定めの有無にかかわらず、いつでも返還をすることができる。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書面でする消費貸借の借主は、貸主から金銭その他の物を受け取るまで、契約の解除をすることができる。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金銭その他の物を給付する義務を負う者がある場合において、当事者がその物を消費貸借の目的とすることを約したときは、消費貸借は、これによって成立したものとみなされる。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貸主は、特約の有無にかかわらず、借主に対して法定利息を請求することができる。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42】</w:t>
      </w:r>
    </w:p>
    <w:p>
      <w:pPr>
        <w:spacing w:after="80" w:line="300"/>
      </w:pPr>
      <w:r>
        <w:rPr>
          <w:rFonts w:ascii="Meiryo" w:cs="Meiryo" w:eastAsia="Meiryo" w:hAnsi="Meiryo"/>
          <w:sz w:val="21"/>
          <w:szCs w:val="21"/>
        </w:rPr>
        <w:t xml:space="preserve">次の①～④の記述のうち、民法上、その内容が適切でないものを1つだけ選び、解答欄にその番号をマークしなさい。なお、本問において、「改正前民法」とは平成29年法律第44号により改正される前の民法をいい、「改正民法」とは同法により改正された後の民法をいうものとす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は、2020年3月1日に、Ｂとの間で、金銭消費貸借契約を締結しＢに10万円を貸し付けた。この場合、ＡのＢに対する貸付金債権の消滅時効の期間については、改正前民法が適用され、当該債権は、10年間行使しないときは、時効によって消滅す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2020年3月1日に、Ｂとの間で、債権の譲渡を禁止する旨の特約を付した金銭消費貸借契約を締結しＢに10万円を貸し付けた。その後、Ａは、2020年5月1日に、Ｃとの間で、ＡのＢに対する貸付金債権を譲渡した。この場合、ＡのＣに対する債権の譲渡については、改正前民法が適用され、ＡとＣとの間の債権譲渡契約は無効とな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は、2020年3月1日に、Ｂとの間で、定型取引(注)に係る契約を締結した。この場合において、2020年3月31日以前に、Ａ又はＢが書面又は電磁的記録により反対の意思を表示していないときは、当該契約については、改正民法が適用され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2010年5月1日に、Ｂとの間で、金銭消費貸借契約を締結しＢに10万円を貸し付けた。ＢがＡに借入金を返済していない場合において、2020年4月15日に天災その他避けることのできない事変が生じた。この場合、天災等による時効の完成猶予については、改正民法が適用され、その障害が消滅した時から3か月を経過するまでの間は、時効は、完成しない。</w:t>
      </w:r>
    </w:p>
    <w:p>
      <w:pPr>
        <w:spacing w:after="60" w:line="300"/>
      </w:pPr>
      <w:r>
        <w:rPr>
          <w:rFonts w:ascii="Meiryo" w:cs="Meiryo" w:eastAsia="Meiryo" w:hAnsi="Meiryo"/>
          <w:sz w:val="19"/>
          <w:szCs w:val="19"/>
        </w:rPr>
        <w:t xml:space="preserve">(注) 定型取引とは、改正民法第548条の2（定型約款の合意）第1項に規定する定型取引（ある特定の者が不特定多数の者を相手方として行う取引であって、その内容の全部又は一部が画一的であることがその双方にとって合理的なもの）をいう。</w:t>
      </w:r>
    </w:p>
    <w:p>
      <w:pPr>
        <w:spacing w:after="150" w:line="300"/>
      </w:pPr>
      <w:r>
        <w:rPr>
          <w:rFonts w:ascii="Meiryo" w:cs="Meiryo" w:eastAsia="Meiryo" w:hAnsi="Meiryo"/>
          <w:sz w:val="21"/>
          <w:szCs w:val="21"/>
        </w:rPr>
        <w:t xml:space="preserve"/>
      </w:r>
    </w:p>
    <w:p>
      <w:pPr>
        <w:spacing w:after="120" w:line="300"/>
      </w:pPr>
      <w:r>
        <w:rPr>
          <w:rFonts w:ascii="Meiryo" w:cs="Meiryo" w:eastAsia="Meiryo" w:hAnsi="Meiryo"/>
          <w:b/>
          <w:bCs/>
          <w:color w:val="0A5A2C"/>
          <w:sz w:val="23"/>
          <w:szCs w:val="23"/>
        </w:rPr>
        <w:t xml:space="preserve">資金需要者保護</w:t>
      </w:r>
    </w:p>
    <w:p>
      <w:pPr>
        <w:spacing w:after="60" w:line="300"/>
      </w:pPr>
      <w:r>
        <w:rPr>
          <w:rFonts w:ascii="Meiryo" w:cs="Meiryo" w:eastAsia="Meiryo" w:hAnsi="Meiryo"/>
          <w:b/>
          <w:bCs/>
          <w:sz w:val="21"/>
          <w:szCs w:val="21"/>
        </w:rPr>
        <w:t xml:space="preserve">【問題 43】</w:t>
      </w:r>
    </w:p>
    <w:p>
      <w:pPr>
        <w:spacing w:after="80" w:line="300"/>
      </w:pPr>
      <w:r>
        <w:rPr>
          <w:rFonts w:ascii="Meiryo" w:cs="Meiryo" w:eastAsia="Meiryo" w:hAnsi="Meiryo"/>
          <w:sz w:val="21"/>
          <w:szCs w:val="21"/>
        </w:rPr>
        <w:t xml:space="preserve">個人情報の保護に関する法律についてのガイドライン（通則編）に関する次の①～④の記述のうち、その内容が適切なものを1つだけ選び、解答欄にその番号をマークしなさい。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個人情報取扱事業者は、個人情報を取り扱うに当たっては、その利用の目的（以下、本問において「利用目的」という。）をできる限り特定しなければならない。例えば、「マーケティング活動に用いるため」という記載は、具体的に利用目的を特定している事例に該当す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個人情報取扱事業者は、あらかじめ本人の同意を得ないで、個人情報の保護に関する法律第15条の規定により特定された利用目的の達成に必要な範囲を超えて、個人情報を取り扱ってはならない。なお、当該同意を得るために個人情報を利用することは、当初特定した利用目的としてその旨が記載されていない場合には、目的外利用に該当す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個人情報取扱事業者は、あらかじめその利用目的を公表していない場合であっても、インターネット上で本人が自発的に公にしている個人情報を取得したときは、その利用目的を、本人に通知し、又は公表する必要は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個人情報取扱事業者は、例えば、アンケートに記載された個人情報を直接本人から取得する場合等、本人から直接書面に記載された当該本人の個人情報を取得する場合は、あらかじめ、本人に対し、その利用目的を明示しなければならない。ただし、人の生命、身体又は財産の保護のために緊急に必要がある場合は、この限りで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44】</w:t>
      </w:r>
    </w:p>
    <w:p>
      <w:pPr>
        <w:spacing w:after="80" w:line="300"/>
      </w:pPr>
      <w:r>
        <w:rPr>
          <w:rFonts w:ascii="Meiryo" w:cs="Meiryo" w:eastAsia="Meiryo" w:hAnsi="Meiryo"/>
          <w:sz w:val="21"/>
          <w:szCs w:val="21"/>
        </w:rPr>
        <w:t xml:space="preserve">消費者契約法に関する次の①～④の記述のうち、その内容が適切なものを1つだけ選び、解答欄にその番号をマークしなさい。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消費者契約法の適用がある取引については、消費者には、消費者契約法に基づき、契約の申込み又は契約の締結後一定の期間内であれば、無条件に当該契約の申込みを撤回し又は当該契約を解除することができる権利であるクーリング・オフを行使する権利が認められてい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事業者が、消費者契約の締結について勧誘をするに際し、勧誘をしている場所から退去する旨の意思を消費者が示したにもかかわらず、当該消費者を退去させないなど、消費者を困惑させることにより当該消費者契約を締結した場合、消費者契約法第2条（定義）第4項に規定する適格消費者団体には、当該消費者契約についての取消権が認められてい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消費者契約法に基づき消費者に認められる取消権は、追認をすることができる時から1年間行わないときは、時効によって消滅する。当該消費者契約の締結の時から5年を経過したときも、同様とする。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消費者契約の解除に伴う損害賠償の額を予定する条項であって、その額が、当該条項において設定された解除の事由、時期等の区分に応じ、当該消費者契約と同種の消費者契約の解除に伴い当該事業者に生ずべき平均的な損害の額を超えるものは、当該条項そのものを無効とす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45】</w:t>
      </w:r>
    </w:p>
    <w:p>
      <w:pPr>
        <w:spacing w:after="80" w:line="300"/>
      </w:pPr>
      <w:r>
        <w:rPr>
          <w:rFonts w:ascii="Meiryo" w:cs="Meiryo" w:eastAsia="Meiryo" w:hAnsi="Meiryo"/>
          <w:sz w:val="21"/>
          <w:szCs w:val="21"/>
        </w:rPr>
        <w:t xml:space="preserve">日本貸金業協会が定める貸金業の業務運営に関する自主規制基本規則に規定する「広告及び勧誘に関する規制」についての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協会員は、債務者等に対して貸付けの契約に係る勧誘を行うに際しては、例えば、店頭窓口において口頭での承諾の事実を確認し、当該承諾に係る記録を作成及び保管する方法により、当該債務者等から当該勧誘を行うことについての承諾を得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協会員は、勧誘リスト等を作成するにあたっては、当該勧誘リストに指定信用情報機関の信用情報を記載し、勧誘対象者に対する過剰貸付けの防止に努めなければならない。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協会員は、ギャンブル専門紙及びギャンブル専門誌へ個人向け貸付けの契約に係る広告を出稿するにあたっては、安易な借入れを助長する表現、又はその疑いのある表現を排除することに留意し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協会員は、新聞、雑誌又は電話帳へ個人向け貸付けの契約に係る広告を出稿するにあたって、比較広告を行う場合には、求めに応じてその裏付けとなる根拠を説明することができる態勢を整備するとともに、その説明に必要となる資料等を作成し、保管するといった適切な措置を講じ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46】</w:t>
      </w:r>
    </w:p>
    <w:p>
      <w:pPr>
        <w:spacing w:after="80" w:line="300"/>
      </w:pPr>
      <w:r>
        <w:rPr>
          <w:rFonts w:ascii="Meiryo" w:cs="Meiryo" w:eastAsia="Meiryo" w:hAnsi="Meiryo"/>
          <w:sz w:val="21"/>
          <w:szCs w:val="21"/>
        </w:rPr>
        <w:t xml:space="preserve">不当景品類及び不当表示防止法（以下、本問において「景品表示法」という。）に関する次の①～④の記述のうち、その内容が適切でないものを1つだけ選び、解答欄にその番号をマークしなさい。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表示とは、顧客を誘引するための手段として、事業者が自己の供給する商品又は役務の内容又は取引条件その他これらの取引に関する事項について行う広告その他の表示であって、内閣総理大臣が指定するものをいう。</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内閣総理大臣は、景品表示法第4条（景品類の制限及び禁止）の規定による制限もしくは禁止又は同法第5条（不当な表示の禁止）の規定に違反する行為があるときは、当該事業者に対し、その行為の差止めもしくはその行為が再び行われることを防止するために必要な事項又はこれらの実施に関連する公示その他必要な事項を命ずることができる。ただし、その命令は、当該違反行為が既になくなっている場合にはすることができ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内閣総理大臣は、景品表示法第7条（措置命令）第1項の規定による命令に関し、事業者がした表示が同法第5条（不当な表示の禁止）第1号に該当する表示（以下、本問において「優良誤認表示」という。）か否かを判断するため必要があると認めるときは、当該表示をした事業者に対し、期間を定めて、当該表示の裏付けとなる合理的な根拠を示す資料の提出を求めることができる。この場合において、当該事業者が当該資料を提出しないときは、同法第7条第1項の規定の適用については、当該表示は優良誤認表示とみなされ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内閣総理大臣は、事業者が正当な理由がなくて景品表示法第26条（事業者が講ずべき景品類の提供及び表示の管理上の措置）第1項の規定に基づき事業者が講ずべき措置を講じていないと認めるときは、当該事業者に対し、景品類の提供又は表示の管理上必要な措置を講ずべき旨の勧告をすることができる。内閣総理大臣は、当該勧告を行った場合において当該事業者がその勧告に従わないときは、その旨を公表することができ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47】</w:t>
      </w:r>
    </w:p>
    <w:p>
      <w:pPr>
        <w:spacing w:after="80" w:line="300"/>
      </w:pPr>
      <w:r>
        <w:rPr>
          <w:rFonts w:ascii="Meiryo" w:cs="Meiryo" w:eastAsia="Meiryo" w:hAnsi="Meiryo"/>
          <w:sz w:val="21"/>
          <w:szCs w:val="21"/>
        </w:rPr>
        <w:t xml:space="preserve">日本貸金業協会が定める紛争解決等業務に関する規則についての次の①～④の記述のうち、その内容が適切でないものを1つだけ選び、解答欄にその番号をマークしなさい。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契約者等(注1)による紛争解決手続開始の申立てが受理され、相手方に対してその旨の通知がなされた場合、当該通知を受けた協会員等(注2)は、正当な理由がある場合を除き、紛争解決手続に応じ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紛争解決委員は、当事者もしくは参考人から意見を聴取し、もしくは文書もしくは口頭による報告を求め、又は当事者から参考となるべき帳簿書類その他の物件の提出もしくは提示を求めることができる。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紛争解決委員は、申立てに係る紛争の解決に必要な和解案を作成し、当事者に対し提示して、その受諾を勧告することができる。当事者双方が紛争解決委員の和解案を受諾したときは、裁判所に届け出ることにより、当該和解案の内容で和解が成立したものとされ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紛争解決委員は、和解案の受諾の勧告によっては当事者間に和解が成立する見込みがない場合において、事案の性質、当事者の意向、当事者の手続追行の状況その他の事情に照らして相当であると認めるときは、貸金業務関連紛争の解決のために必要な特別調停案を作成し、理由を付して当事者に提示することができる。</w:t>
      </w:r>
    </w:p>
    <w:p>
      <w:pPr>
        <w:spacing w:after="60" w:line="300"/>
      </w:pPr>
      <w:r>
        <w:rPr>
          <w:rFonts w:ascii="Meiryo" w:cs="Meiryo" w:eastAsia="Meiryo" w:hAnsi="Meiryo"/>
          <w:sz w:val="19"/>
          <w:szCs w:val="19"/>
        </w:rPr>
        <w:t xml:space="preserve">(注1)契約者等とは、顧客等、債務者等もしくは債務者等であったもの又はその一般承継人をいう。(注2)協会員等とは、日本貸金業協会の会員及び日本貸金業協会と手続実施基本契約を締結した貸金業者をいう。</w:t>
      </w:r>
    </w:p>
    <w:p>
      <w:pPr>
        <w:spacing w:after="150" w:line="300"/>
      </w:pPr>
      <w:r>
        <w:rPr>
          <w:rFonts w:ascii="Meiryo" w:cs="Meiryo" w:eastAsia="Meiryo" w:hAnsi="Meiryo"/>
          <w:sz w:val="21"/>
          <w:szCs w:val="21"/>
        </w:rPr>
        <w:t xml:space="preserve"/>
      </w:r>
    </w:p>
    <w:p>
      <w:pPr>
        <w:spacing w:after="120" w:line="300"/>
      </w:pPr>
      <w:r>
        <w:rPr>
          <w:rFonts w:ascii="Meiryo" w:cs="Meiryo" w:eastAsia="Meiryo" w:hAnsi="Meiryo"/>
          <w:b/>
          <w:bCs/>
          <w:color w:val="0A5A2C"/>
          <w:sz w:val="23"/>
          <w:szCs w:val="23"/>
        </w:rPr>
        <w:t xml:space="preserve">財務会計</w:t>
      </w:r>
    </w:p>
    <w:p>
      <w:pPr>
        <w:spacing w:after="60" w:line="300"/>
      </w:pPr>
      <w:r>
        <w:rPr>
          <w:rFonts w:ascii="Meiryo" w:cs="Meiryo" w:eastAsia="Meiryo" w:hAnsi="Meiryo"/>
          <w:b/>
          <w:bCs/>
          <w:sz w:val="21"/>
          <w:szCs w:val="21"/>
        </w:rPr>
        <w:t xml:space="preserve">【問題 48】</w:t>
      </w:r>
    </w:p>
    <w:p>
      <w:pPr>
        <w:spacing w:after="80" w:line="300"/>
      </w:pPr>
      <w:r>
        <w:rPr>
          <w:rFonts w:ascii="Meiryo" w:cs="Meiryo" w:eastAsia="Meiryo" w:hAnsi="Meiryo"/>
          <w:sz w:val="21"/>
          <w:szCs w:val="21"/>
        </w:rPr>
        <w:t xml:space="preserve">損益計算書に関する次の図表の空欄ａ～ｃに当てはまる語句の組み合わせとして適切なものを、次の①～④の中から1つだけ選び、解答欄にその番号をマークしなさい。</w:t>
      </w:r>
    </w:p>
    <w:p>
      <w:pPr>
        <w:spacing w:after="40" w:line="300"/>
      </w:pPr>
      <w:r>
        <w:rPr>
          <w:rFonts w:ascii="Meiryo" w:cs="Meiryo" w:eastAsia="Meiryo" w:hAnsi="Meiryo"/>
          <w:b/>
          <w:bCs/>
          <w:sz w:val="21"/>
          <w:szCs w:val="21"/>
        </w:rPr>
        <w:t xml:space="preserve">損益計算書</w:t>
      </w:r>
    </w:p>
    <w:p>
      <w:pPr>
        <w:spacing w:after="60" w:line="300"/>
      </w:pPr>
      <w:r>
        <w:rPr>
          <w:rFonts w:ascii="Meiryo" w:cs="Meiryo" w:eastAsia="Meiryo" w:hAnsi="Meiryo"/>
          <w:sz w:val="19"/>
          <w:szCs w:val="19"/>
        </w:rPr>
        <w:t xml:space="preserve">自平成31年4月1日 至令和2年3月31日（単位：百万円）</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5400"/>
        <w:gridCol w:w="2200"/>
      </w:tblGrid>
      <w:tr>
        <w:tc>
          <w:tcPr>
            <w:tcW w:type="dxa" w:w="5400"/>
            <w:shd w:fill="E5F1E9" w:val="clear"/>
          </w:tcPr>
          <w:p>
            <w:pPr>
              <w:spacing w:after="20" w:line="260"/>
              <w:jc w:val="left"/>
            </w:pPr>
            <w:r>
              <w:rPr>
                <w:rFonts w:ascii="Meiryo" w:cs="Meiryo" w:eastAsia="Meiryo" w:hAnsi="Meiryo"/>
                <w:b/>
                <w:bCs/>
                <w:sz w:val="21"/>
                <w:szCs w:val="21"/>
              </w:rPr>
              <w:t xml:space="preserve">科目</w:t>
            </w:r>
          </w:p>
        </w:tc>
        <w:tc>
          <w:tcPr>
            <w:tcW w:type="dxa" w:w="2200"/>
            <w:shd w:fill="E5F1E9" w:val="clear"/>
          </w:tcPr>
          <w:p>
            <w:pPr>
              <w:spacing w:after="20" w:line="260"/>
              <w:jc w:val="right"/>
            </w:pPr>
            <w:r>
              <w:rPr>
                <w:rFonts w:ascii="Meiryo" w:cs="Meiryo" w:eastAsia="Meiryo" w:hAnsi="Meiryo"/>
                <w:b/>
                <w:bCs/>
                <w:sz w:val="21"/>
                <w:szCs w:val="21"/>
              </w:rPr>
              <w:t xml:space="preserve">金額</w:t>
            </w:r>
          </w:p>
        </w:tc>
      </w:tr>
      <w:tr>
        <w:tc>
          <w:tcPr>
            <w:tcW w:type="dxa" w:w="5400"/>
          </w:tcPr>
          <w:p>
            <w:pPr>
              <w:spacing w:after="20" w:line="260"/>
              <w:jc w:val="left"/>
            </w:pPr>
            <w:r>
              <w:rPr>
                <w:rFonts w:ascii="Meiryo" w:cs="Meiryo" w:eastAsia="Meiryo" w:hAnsi="Meiryo"/>
                <w:b w:val="false"/>
                <w:bCs w:val="false"/>
                <w:sz w:val="21"/>
                <w:szCs w:val="21"/>
              </w:rPr>
              <w:t xml:space="preserve">売上高</w:t>
            </w:r>
          </w:p>
        </w:tc>
        <w:tc>
          <w:tcPr>
            <w:tcW w:type="dxa" w:w="2200"/>
          </w:tcPr>
          <w:p>
            <w:pPr>
              <w:spacing w:after="20" w:line="260"/>
              <w:jc w:val="right"/>
            </w:pPr>
            <w:r>
              <w:rPr>
                <w:rFonts w:ascii="Meiryo" w:cs="Meiryo" w:eastAsia="Meiryo" w:hAnsi="Meiryo"/>
                <w:b w:val="false"/>
                <w:bCs w:val="false"/>
                <w:sz w:val="21"/>
                <w:szCs w:val="21"/>
              </w:rPr>
              <w:t xml:space="preserve">3,850</w:t>
            </w:r>
          </w:p>
        </w:tc>
      </w:tr>
      <w:tr>
        <w:tc>
          <w:tcPr>
            <w:tcW w:type="dxa" w:w="5400"/>
          </w:tcPr>
          <w:p>
            <w:pPr>
              <w:spacing w:after="20" w:line="260"/>
              <w:jc w:val="left"/>
            </w:pPr>
            <w:r>
              <w:rPr>
                <w:rFonts w:ascii="Meiryo" w:cs="Meiryo" w:eastAsia="Meiryo" w:hAnsi="Meiryo"/>
                <w:b w:val="false"/>
                <w:bCs w:val="false"/>
                <w:sz w:val="21"/>
                <w:szCs w:val="21"/>
              </w:rPr>
              <w:t xml:space="preserve">売上原価</w:t>
            </w:r>
          </w:p>
        </w:tc>
        <w:tc>
          <w:tcPr>
            <w:tcW w:type="dxa" w:w="2200"/>
          </w:tcPr>
          <w:p>
            <w:pPr>
              <w:spacing w:after="20" w:line="260"/>
              <w:jc w:val="right"/>
            </w:pPr>
            <w:r>
              <w:rPr>
                <w:rFonts w:ascii="Meiryo" w:cs="Meiryo" w:eastAsia="Meiryo" w:hAnsi="Meiryo"/>
                <w:b w:val="false"/>
                <w:bCs w:val="false"/>
                <w:sz w:val="21"/>
                <w:szCs w:val="21"/>
              </w:rPr>
              <w:t xml:space="preserve">2,950</w:t>
            </w:r>
          </w:p>
        </w:tc>
      </w:tr>
      <w:tr>
        <w:tc>
          <w:tcPr>
            <w:tcW w:type="dxa" w:w="5400"/>
          </w:tcPr>
          <w:p>
            <w:pPr>
              <w:spacing w:after="20" w:line="260"/>
              <w:jc w:val="left"/>
            </w:pPr>
            <w:r>
              <w:rPr>
                <w:rFonts w:ascii="Meiryo" w:cs="Meiryo" w:eastAsia="Meiryo" w:hAnsi="Meiryo"/>
                <w:b w:val="false"/>
                <w:bCs w:val="false"/>
                <w:sz w:val="21"/>
                <w:szCs w:val="21"/>
              </w:rPr>
              <w:t xml:space="preserve">（ａ）</w:t>
            </w:r>
          </w:p>
        </w:tc>
        <w:tc>
          <w:tcPr>
            <w:tcW w:type="dxa" w:w="2200"/>
          </w:tcPr>
          <w:p>
            <w:pPr>
              <w:spacing w:after="20" w:line="260"/>
              <w:jc w:val="right"/>
            </w:pPr>
            <w:r>
              <w:rPr>
                <w:rFonts w:ascii="Meiryo" w:cs="Meiryo" w:eastAsia="Meiryo" w:hAnsi="Meiryo"/>
                <w:b w:val="false"/>
                <w:bCs w:val="false"/>
                <w:sz w:val="21"/>
                <w:szCs w:val="21"/>
              </w:rPr>
              <w:t xml:space="preserve">900</w:t>
            </w:r>
          </w:p>
        </w:tc>
      </w:tr>
      <w:tr>
        <w:tc>
          <w:tcPr>
            <w:tcW w:type="dxa" w:w="5400"/>
          </w:tcPr>
          <w:p>
            <w:pPr>
              <w:spacing w:after="20" w:line="260"/>
              <w:jc w:val="left"/>
            </w:pPr>
            <w:r>
              <w:rPr>
                <w:rFonts w:ascii="Meiryo" w:cs="Meiryo" w:eastAsia="Meiryo" w:hAnsi="Meiryo"/>
                <w:b w:val="false"/>
                <w:bCs w:val="false"/>
                <w:sz w:val="21"/>
                <w:szCs w:val="21"/>
              </w:rPr>
              <w:t xml:space="preserve">販売費及び一般管理費</w:t>
            </w:r>
          </w:p>
        </w:tc>
        <w:tc>
          <w:tcPr>
            <w:tcW w:type="dxa" w:w="2200"/>
          </w:tcPr>
          <w:p>
            <w:pPr>
              <w:spacing w:after="20" w:line="260"/>
              <w:jc w:val="right"/>
            </w:pPr>
            <w:r>
              <w:rPr>
                <w:rFonts w:ascii="Meiryo" w:cs="Meiryo" w:eastAsia="Meiryo" w:hAnsi="Meiryo"/>
                <w:b w:val="false"/>
                <w:bCs w:val="false"/>
                <w:sz w:val="21"/>
                <w:szCs w:val="21"/>
              </w:rPr>
              <w:t xml:space="preserve">730</w:t>
            </w:r>
          </w:p>
        </w:tc>
      </w:tr>
      <w:tr>
        <w:tc>
          <w:tcPr>
            <w:tcW w:type="dxa" w:w="5400"/>
          </w:tcPr>
          <w:p>
            <w:pPr>
              <w:spacing w:after="20" w:line="260"/>
              <w:jc w:val="left"/>
            </w:pPr>
            <w:r>
              <w:rPr>
                <w:rFonts w:ascii="Meiryo" w:cs="Meiryo" w:eastAsia="Meiryo" w:hAnsi="Meiryo"/>
                <w:b w:val="false"/>
                <w:bCs w:val="false"/>
                <w:sz w:val="21"/>
                <w:szCs w:val="21"/>
              </w:rPr>
              <w:t xml:space="preserve">（ｂ）</w:t>
            </w:r>
          </w:p>
        </w:tc>
        <w:tc>
          <w:tcPr>
            <w:tcW w:type="dxa" w:w="2200"/>
          </w:tcPr>
          <w:p>
            <w:pPr>
              <w:spacing w:after="20" w:line="260"/>
              <w:jc w:val="right"/>
            </w:pPr>
            <w:r>
              <w:rPr>
                <w:rFonts w:ascii="Meiryo" w:cs="Meiryo" w:eastAsia="Meiryo" w:hAnsi="Meiryo"/>
                <w:b w:val="false"/>
                <w:bCs w:val="false"/>
                <w:sz w:val="21"/>
                <w:szCs w:val="21"/>
              </w:rPr>
              <w:t xml:space="preserve">170</w:t>
            </w:r>
          </w:p>
        </w:tc>
      </w:tr>
      <w:tr>
        <w:tc>
          <w:tcPr>
            <w:tcW w:type="dxa" w:w="5400"/>
          </w:tcPr>
          <w:p>
            <w:pPr>
              <w:spacing w:after="20" w:line="260"/>
              <w:jc w:val="left"/>
            </w:pPr>
            <w:r>
              <w:rPr>
                <w:rFonts w:ascii="Meiryo" w:cs="Meiryo" w:eastAsia="Meiryo" w:hAnsi="Meiryo"/>
                <w:b w:val="false"/>
                <w:bCs w:val="false"/>
                <w:sz w:val="21"/>
                <w:szCs w:val="21"/>
              </w:rPr>
              <w:t xml:space="preserve">営業外費用</w:t>
            </w:r>
          </w:p>
        </w:tc>
        <w:tc>
          <w:tcPr>
            <w:tcW w:type="dxa" w:w="2200"/>
          </w:tcPr>
          <w:p>
            <w:pPr>
              <w:spacing w:after="20" w:line="260"/>
              <w:jc w:val="right"/>
            </w:pPr>
            <w:r>
              <w:rPr>
                <w:rFonts w:ascii="Meiryo" w:cs="Meiryo" w:eastAsia="Meiryo" w:hAnsi="Meiryo"/>
                <w:b w:val="false"/>
                <w:bCs w:val="false"/>
                <w:sz w:val="21"/>
                <w:szCs w:val="21"/>
              </w:rPr>
              <w:t xml:space="preserve">20</w:t>
            </w:r>
          </w:p>
        </w:tc>
      </w:tr>
      <w:tr>
        <w:tc>
          <w:tcPr>
            <w:tcW w:type="dxa" w:w="5400"/>
          </w:tcPr>
          <w:p>
            <w:pPr>
              <w:spacing w:after="20" w:line="260"/>
              <w:jc w:val="left"/>
            </w:pPr>
            <w:r>
              <w:rPr>
                <w:rFonts w:ascii="Meiryo" w:cs="Meiryo" w:eastAsia="Meiryo" w:hAnsi="Meiryo"/>
                <w:b w:val="false"/>
                <w:bCs w:val="false"/>
                <w:sz w:val="21"/>
                <w:szCs w:val="21"/>
              </w:rPr>
              <w:t xml:space="preserve">営業外収益</w:t>
            </w:r>
          </w:p>
        </w:tc>
        <w:tc>
          <w:tcPr>
            <w:tcW w:type="dxa" w:w="2200"/>
          </w:tcPr>
          <w:p>
            <w:pPr>
              <w:spacing w:after="20" w:line="260"/>
              <w:jc w:val="right"/>
            </w:pPr>
            <w:r>
              <w:rPr>
                <w:rFonts w:ascii="Meiryo" w:cs="Meiryo" w:eastAsia="Meiryo" w:hAnsi="Meiryo"/>
                <w:b w:val="false"/>
                <w:bCs w:val="false"/>
                <w:sz w:val="21"/>
                <w:szCs w:val="21"/>
              </w:rPr>
              <w:t xml:space="preserve">3</w:t>
            </w:r>
          </w:p>
        </w:tc>
      </w:tr>
      <w:tr>
        <w:tc>
          <w:tcPr>
            <w:tcW w:type="dxa" w:w="5400"/>
          </w:tcPr>
          <w:p>
            <w:pPr>
              <w:spacing w:after="20" w:line="260"/>
              <w:jc w:val="left"/>
            </w:pPr>
            <w:r>
              <w:rPr>
                <w:rFonts w:ascii="Meiryo" w:cs="Meiryo" w:eastAsia="Meiryo" w:hAnsi="Meiryo"/>
                <w:b w:val="false"/>
                <w:bCs w:val="false"/>
                <w:sz w:val="21"/>
                <w:szCs w:val="21"/>
              </w:rPr>
              <w:t xml:space="preserve">（ｃ）</w:t>
            </w:r>
          </w:p>
        </w:tc>
        <w:tc>
          <w:tcPr>
            <w:tcW w:type="dxa" w:w="2200"/>
          </w:tcPr>
          <w:p>
            <w:pPr>
              <w:spacing w:after="20" w:line="260"/>
              <w:jc w:val="right"/>
            </w:pPr>
            <w:r>
              <w:rPr>
                <w:rFonts w:ascii="Meiryo" w:cs="Meiryo" w:eastAsia="Meiryo" w:hAnsi="Meiryo"/>
                <w:b w:val="false"/>
                <w:bCs w:val="false"/>
                <w:sz w:val="21"/>
                <w:szCs w:val="21"/>
              </w:rPr>
              <w:t xml:space="preserve">153</w:t>
            </w:r>
          </w:p>
        </w:tc>
      </w:tr>
      <w:tr>
        <w:tc>
          <w:tcPr>
            <w:tcW w:type="dxa" w:w="5400"/>
          </w:tcPr>
          <w:p>
            <w:pPr>
              <w:spacing w:after="20" w:line="260"/>
              <w:jc w:val="left"/>
            </w:pPr>
            <w:r>
              <w:rPr>
                <w:rFonts w:ascii="Meiryo" w:cs="Meiryo" w:eastAsia="Meiryo" w:hAnsi="Meiryo"/>
                <w:b w:val="false"/>
                <w:bCs w:val="false"/>
                <w:sz w:val="21"/>
                <w:szCs w:val="21"/>
              </w:rPr>
              <w:t xml:space="preserve">特別利益</w:t>
            </w:r>
          </w:p>
        </w:tc>
        <w:tc>
          <w:tcPr>
            <w:tcW w:type="dxa" w:w="2200"/>
          </w:tcPr>
          <w:p>
            <w:pPr>
              <w:spacing w:after="20" w:line="260"/>
              <w:jc w:val="right"/>
            </w:pPr>
            <w:r>
              <w:rPr>
                <w:rFonts w:ascii="Meiryo" w:cs="Meiryo" w:eastAsia="Meiryo" w:hAnsi="Meiryo"/>
                <w:b w:val="false"/>
                <w:bCs w:val="false"/>
                <w:sz w:val="21"/>
                <w:szCs w:val="21"/>
              </w:rPr>
              <w:t xml:space="preserve">0</w:t>
            </w:r>
          </w:p>
        </w:tc>
      </w:tr>
      <w:tr>
        <w:tc>
          <w:tcPr>
            <w:tcW w:type="dxa" w:w="5400"/>
          </w:tcPr>
          <w:p>
            <w:pPr>
              <w:spacing w:after="20" w:line="260"/>
              <w:jc w:val="left"/>
            </w:pPr>
            <w:r>
              <w:rPr>
                <w:rFonts w:ascii="Meiryo" w:cs="Meiryo" w:eastAsia="Meiryo" w:hAnsi="Meiryo"/>
                <w:b w:val="false"/>
                <w:bCs w:val="false"/>
                <w:sz w:val="21"/>
                <w:szCs w:val="21"/>
              </w:rPr>
              <w:t xml:space="preserve">特別損失</w:t>
            </w:r>
          </w:p>
        </w:tc>
        <w:tc>
          <w:tcPr>
            <w:tcW w:type="dxa" w:w="2200"/>
          </w:tcPr>
          <w:p>
            <w:pPr>
              <w:spacing w:after="20" w:line="260"/>
              <w:jc w:val="right"/>
            </w:pPr>
            <w:r>
              <w:rPr>
                <w:rFonts w:ascii="Meiryo" w:cs="Meiryo" w:eastAsia="Meiryo" w:hAnsi="Meiryo"/>
                <w:b w:val="false"/>
                <w:bCs w:val="false"/>
                <w:sz w:val="21"/>
                <w:szCs w:val="21"/>
              </w:rPr>
              <w:t xml:space="preserve">1</w:t>
            </w:r>
          </w:p>
        </w:tc>
      </w:tr>
      <w:tr>
        <w:tc>
          <w:tcPr>
            <w:tcW w:type="dxa" w:w="5400"/>
          </w:tcPr>
          <w:p>
            <w:pPr>
              <w:spacing w:after="20" w:line="260"/>
              <w:jc w:val="left"/>
            </w:pPr>
            <w:r>
              <w:rPr>
                <w:rFonts w:ascii="Meiryo" w:cs="Meiryo" w:eastAsia="Meiryo" w:hAnsi="Meiryo"/>
                <w:b w:val="false"/>
                <w:bCs w:val="false"/>
                <w:sz w:val="21"/>
                <w:szCs w:val="21"/>
              </w:rPr>
              <w:t xml:space="preserve">税引前当期純利益</w:t>
            </w:r>
          </w:p>
        </w:tc>
        <w:tc>
          <w:tcPr>
            <w:tcW w:type="dxa" w:w="2200"/>
          </w:tcPr>
          <w:p>
            <w:pPr>
              <w:spacing w:after="20" w:line="260"/>
              <w:jc w:val="right"/>
            </w:pPr>
            <w:r>
              <w:rPr>
                <w:rFonts w:ascii="Meiryo" w:cs="Meiryo" w:eastAsia="Meiryo" w:hAnsi="Meiryo"/>
                <w:b w:val="false"/>
                <w:bCs w:val="false"/>
                <w:sz w:val="21"/>
                <w:szCs w:val="21"/>
              </w:rPr>
              <w:t xml:space="preserve">152</w:t>
            </w:r>
          </w:p>
        </w:tc>
      </w:tr>
      <w:tr>
        <w:tc>
          <w:tcPr>
            <w:tcW w:type="dxa" w:w="5400"/>
          </w:tcPr>
          <w:p>
            <w:pPr>
              <w:spacing w:after="20" w:line="260"/>
              <w:jc w:val="left"/>
            </w:pPr>
            <w:r>
              <w:rPr>
                <w:rFonts w:ascii="Meiryo" w:cs="Meiryo" w:eastAsia="Meiryo" w:hAnsi="Meiryo"/>
                <w:b w:val="false"/>
                <w:bCs w:val="false"/>
                <w:sz w:val="21"/>
                <w:szCs w:val="21"/>
              </w:rPr>
              <w:t xml:space="preserve">法人税等</w:t>
            </w:r>
          </w:p>
        </w:tc>
        <w:tc>
          <w:tcPr>
            <w:tcW w:type="dxa" w:w="2200"/>
          </w:tcPr>
          <w:p>
            <w:pPr>
              <w:spacing w:after="20" w:line="260"/>
              <w:jc w:val="right"/>
            </w:pPr>
            <w:r>
              <w:rPr>
                <w:rFonts w:ascii="Meiryo" w:cs="Meiryo" w:eastAsia="Meiryo" w:hAnsi="Meiryo"/>
                <w:b w:val="false"/>
                <w:bCs w:val="false"/>
                <w:sz w:val="21"/>
                <w:szCs w:val="21"/>
              </w:rPr>
              <w:t xml:space="preserve">80</w:t>
            </w:r>
          </w:p>
        </w:tc>
      </w:tr>
      <w:tr>
        <w:tc>
          <w:tcPr>
            <w:tcW w:type="dxa" w:w="5400"/>
          </w:tcPr>
          <w:p>
            <w:pPr>
              <w:spacing w:after="20" w:line="260"/>
              <w:jc w:val="left"/>
            </w:pPr>
            <w:r>
              <w:rPr>
                <w:rFonts w:ascii="Meiryo" w:cs="Meiryo" w:eastAsia="Meiryo" w:hAnsi="Meiryo"/>
                <w:b w:val="false"/>
                <w:bCs w:val="false"/>
                <w:sz w:val="21"/>
                <w:szCs w:val="21"/>
              </w:rPr>
              <w:t xml:space="preserve">当期純利益</w:t>
            </w:r>
          </w:p>
        </w:tc>
        <w:tc>
          <w:tcPr>
            <w:tcW w:type="dxa" w:w="2200"/>
          </w:tcPr>
          <w:p>
            <w:pPr>
              <w:spacing w:after="20" w:line="260"/>
              <w:jc w:val="right"/>
            </w:pPr>
            <w:r>
              <w:rPr>
                <w:rFonts w:ascii="Meiryo" w:cs="Meiryo" w:eastAsia="Meiryo" w:hAnsi="Meiryo"/>
                <w:b w:val="false"/>
                <w:bCs w:val="false"/>
                <w:sz w:val="21"/>
                <w:szCs w:val="21"/>
              </w:rPr>
              <w:t xml:space="preserve">72</w:t>
            </w:r>
          </w:p>
        </w:tc>
      </w:tr>
    </w:tbl>
    <w:p>
      <w:pPr>
        <w:spacing w:after="60" w:line="300"/>
      </w:pPr>
      <w:r>
        <w:rPr>
          <w:rFonts w:ascii="Meiryo" w:cs="Meiryo" w:eastAsia="Meiryo" w:hAnsi="Meiryo"/>
          <w:sz w:val="21"/>
          <w:szCs w:val="21"/>
        </w:rPr>
        <w:t xml:space="preserve"/>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ａ-売上総利益 ｂ-営業利益 ｃ-経常利益</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ａ-経常利益 ｂ-営業利益 ｃ-売上総利益</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ａ-売上総利益 ｂ-粗利益 ｃ-経常利益</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ａ-粗利益 ｂ-売上総利益 ｃ-営業利益</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49】</w:t>
      </w:r>
    </w:p>
    <w:p>
      <w:pPr>
        <w:spacing w:after="80" w:line="300"/>
      </w:pPr>
      <w:r>
        <w:rPr>
          <w:rFonts w:ascii="Meiryo" w:cs="Meiryo" w:eastAsia="Meiryo" w:hAnsi="Meiryo"/>
          <w:sz w:val="21"/>
          <w:szCs w:val="21"/>
        </w:rPr>
        <w:t xml:space="preserve">企業会計原則（大蔵省企業会計審議会発表）の一般原則に関する次の①～④の記述のうち、その内容が適切でないものを1つだけ選び、解答欄にその番号をマークしなさい。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企業会計は、企業の財政状態及び経営成績に関して、真実な報告を提供するものでなければならない。これを一般に真実性の原則という。</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企業会計は、財務諸表によって、利害関係者に対し必要な会計事実を明瞭に表示し、企業の状況に関する判断を誤らせないようにしなければならない。これを一般に明瞭性の原則という。</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企業の財政状態に影響を及ぼす多額の取引については、その取引の内容をできる限り詳細かつ堅実に注記しなければならない。これを一般に堅実性の原則という。</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株主総会提出のため、信用目的のため、租税目的のため等種々の目的のために異なる形式の財務諸表を作成する必要がある場合、それらの内容は、信頼し得る会計記録に基づいて作成されたものであって、政策の考慮のために事実の真実な表示をゆがめてはならない。これを一般に単一性の原則と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50】</w:t>
      </w:r>
    </w:p>
    <w:p>
      <w:pPr>
        <w:spacing w:after="80" w:line="300"/>
      </w:pPr>
      <w:r>
        <w:rPr>
          <w:rFonts w:ascii="Meiryo" w:cs="Meiryo" w:eastAsia="Meiryo" w:hAnsi="Meiryo"/>
          <w:sz w:val="21"/>
          <w:szCs w:val="21"/>
        </w:rPr>
        <w:t xml:space="preserve">会社計算規則に規定する貸借対照表等(注)に関する次の①～④の記述のうち、その内容が適切でないものを1つだけ選び、解答欄にその番号をマークしなさい。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固定資産に係る項目は、有形固定資産、無形固定資産及び投資その他の資産に区分しなければならない。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資産の部は、流動資産、固定資産及び金融資産に区分しなければならない。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長期借入金は、固定負債に属するものとされている。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未払費用は、流動負債に属するものとされている。</w:t>
      </w:r>
    </w:p>
    <w:p>
      <w:pPr>
        <w:spacing w:after="60" w:line="300"/>
      </w:pPr>
      <w:r>
        <w:rPr>
          <w:rFonts w:ascii="Meiryo" w:cs="Meiryo" w:eastAsia="Meiryo" w:hAnsi="Meiryo"/>
          <w:sz w:val="19"/>
          <w:szCs w:val="19"/>
        </w:rPr>
        <w:t xml:space="preserve">(注) 貸借対照表等とは、貸借対照表及び連結貸借対照表をいう。</w:t>
      </w:r>
    </w:p>
    <w:p>
      <w:pPr>
        <w:spacing w:after="150" w:line="300"/>
      </w:pPr>
      <w:r>
        <w:rPr>
          <w:rFonts w:ascii="Meiryo" w:cs="Meiryo" w:eastAsia="Meiryo" w:hAnsi="Meiryo"/>
          <w:sz w:val="21"/>
          <w:szCs w:val="21"/>
        </w:rPr>
        <w:t xml:space="preserve"/>
      </w:r>
    </w:p>
    <w:p>
      <w:pPr>
        <w:pageBreakBefore/>
        <w:pBdr>
          <w:bottom w:val="single" w:color="0A5A2C" w:sz="6" w:space="4"/>
        </w:pBdr>
        <w:spacing w:after="180" w:line="300"/>
      </w:pPr>
      <w:r>
        <w:rPr>
          <w:rFonts w:ascii="Meiryo" w:cs="Meiryo" w:eastAsia="Meiryo" w:hAnsi="Meiryo"/>
          <w:b/>
          <w:bCs/>
          <w:color w:val="0A5A2C"/>
          <w:sz w:val="26"/>
          <w:szCs w:val="26"/>
        </w:rPr>
        <w:t xml:space="preserve">正解と着眼点</w:t>
      </w:r>
    </w:p>
    <w:p>
      <w:pPr>
        <w:spacing w:after="50" w:line="300"/>
      </w:pPr>
      <w:r>
        <w:rPr>
          <w:rFonts w:ascii="Meiryo" w:cs="Meiryo" w:eastAsia="Meiryo" w:hAnsi="Meiryo"/>
          <w:b/>
          <w:bCs/>
          <w:sz w:val="21"/>
          <w:szCs w:val="21"/>
        </w:rPr>
        <w:t xml:space="preserve">問題 1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用語の定義　（個数）</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登録・届出　（個数）</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貸金業法第4条（登録の申請）</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全部か一部か：</w:t>
      </w:r>
      <w:r>
        <w:rPr>
          <w:rFonts w:ascii="Meiryo" w:cs="Meiryo" w:eastAsia="Meiryo" w:hAnsi="Meiryo"/>
          <w:sz w:val="21"/>
          <w:szCs w:val="21"/>
        </w:rPr>
        <w:t xml:space="preserve">「すべて」と「一部」、「限る」と「限らない」の入れ替えです。例外があるかないかで結論が変わります。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登録・届出　（単純択一）</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貸金業法第10条（廃業等の届出）　貸金業法第6条（登録の拒否）</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誰が・誰に：</w:t>
      </w:r>
      <w:r>
        <w:rPr>
          <w:rFonts w:ascii="Meiryo" w:cs="Meiryo" w:eastAsia="Meiryo" w:hAnsi="Meiryo"/>
          <w:sz w:val="21"/>
          <w:szCs w:val="21"/>
        </w:rPr>
        <w:t xml:space="preserve">手続の相手方や権限者の入れ替えです。内閣総理大臣なのか都道府県知事なのか、貸金業者なのか指定信用情報機関なのかを、条文ごとに確認してください。</w:t>
      </w:r>
    </w:p>
    <w:p>
      <w:pPr>
        <w:spacing w:after="30" w:line="300"/>
        <w:ind w:left="240"/>
      </w:pPr>
      <w:r>
        <w:rPr>
          <w:rFonts w:ascii="Meiryo" w:cs="Meiryo" w:eastAsia="Meiryo" w:hAnsi="Meiryo"/>
          <w:b/>
          <w:bCs/>
          <w:sz w:val="21"/>
          <w:szCs w:val="21"/>
        </w:rPr>
        <w:t xml:space="preserve">以上・超える：</w:t>
      </w:r>
      <w:r>
        <w:rPr>
          <w:rFonts w:ascii="Meiryo" w:cs="Meiryo" w:eastAsia="Meiryo" w:hAnsi="Meiryo"/>
          <w:sz w:val="21"/>
          <w:szCs w:val="21"/>
        </w:rPr>
        <w:t xml:space="preserve">「以上／以下」と「超える／未満」の入れ替えです。その数字を含むかどうかが分かれ目です。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業務委託・事業報告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5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貸金業務取扱主任者　（単純択一）</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貸金業法第12条の3（貸金業務取扱主任者の設置）</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6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禁止行為・業務運営の規制　（組合せ）</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貸金業法第12条の6（禁止行為）</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含む・含まない：</w:t>
      </w:r>
      <w:r>
        <w:rPr>
          <w:rFonts w:ascii="Meiryo" w:cs="Meiryo" w:eastAsia="Meiryo" w:hAnsi="Meiryo"/>
          <w:sz w:val="21"/>
          <w:szCs w:val="21"/>
        </w:rPr>
        <w:t xml:space="preserve">「含まれる」と「含まれない」の入れ替えです。定義に何が入って何が入らないかを、境界の例で押さえてください。</w:t>
      </w:r>
    </w:p>
    <w:p>
      <w:pPr>
        <w:spacing w:after="30" w:line="300"/>
        <w:ind w:left="240"/>
      </w:pPr>
      <w:r>
        <w:rPr>
          <w:rFonts w:ascii="Meiryo" w:cs="Meiryo" w:eastAsia="Meiryo" w:hAnsi="Meiryo"/>
          <w:b/>
          <w:bCs/>
          <w:sz w:val="21"/>
          <w:szCs w:val="21"/>
        </w:rPr>
        <w:t xml:space="preserve">誰が・誰に：</w:t>
      </w:r>
      <w:r>
        <w:rPr>
          <w:rFonts w:ascii="Meiryo" w:cs="Meiryo" w:eastAsia="Meiryo" w:hAnsi="Meiryo"/>
          <w:sz w:val="21"/>
          <w:szCs w:val="21"/>
        </w:rPr>
        <w:t xml:space="preserve">手続の相手方や権限者の入れ替えです。内閣総理大臣なのか都道府県知事なのか、貸金業者なのか指定信用情報機関なのかを、条文ごとに確認してください。</w:t>
      </w:r>
    </w:p>
    <w:p>
      <w:pPr>
        <w:spacing w:after="30" w:line="300"/>
        <w:ind w:left="240"/>
      </w:pPr>
      <w:r>
        <w:rPr>
          <w:rFonts w:ascii="Meiryo" w:cs="Meiryo" w:eastAsia="Meiryo" w:hAnsi="Meiryo"/>
          <w:b/>
          <w:bCs/>
          <w:sz w:val="21"/>
          <w:szCs w:val="21"/>
        </w:rPr>
        <w:t xml:space="preserve">全部か一部か：</w:t>
      </w:r>
      <w:r>
        <w:rPr>
          <w:rFonts w:ascii="Meiryo" w:cs="Meiryo" w:eastAsia="Meiryo" w:hAnsi="Meiryo"/>
          <w:sz w:val="21"/>
          <w:szCs w:val="21"/>
        </w:rPr>
        <w:t xml:space="preserve">「すべて」と「一部」、「限る」と「限らない」の入れ替えです。例外があるかないかで結論が変わります。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7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利息制限法・みなし利息　（組合せ）</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貸金業法第12条の8（利息、保証料等に係る制限等）　利息制限法第1条（利息の制限）</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30" w:line="300"/>
        <w:ind w:left="240"/>
      </w:pPr>
      <w:r>
        <w:rPr>
          <w:rFonts w:ascii="Meiryo" w:cs="Meiryo" w:eastAsia="Meiryo" w:hAnsi="Meiryo"/>
          <w:b/>
          <w:bCs/>
          <w:sz w:val="21"/>
          <w:szCs w:val="21"/>
        </w:rPr>
        <w:t xml:space="preserve">以上・超える：</w:t>
      </w:r>
      <w:r>
        <w:rPr>
          <w:rFonts w:ascii="Meiryo" w:cs="Meiryo" w:eastAsia="Meiryo" w:hAnsi="Meiryo"/>
          <w:sz w:val="21"/>
          <w:szCs w:val="21"/>
        </w:rPr>
        <w:t xml:space="preserve">「以上／以下」と「超える／未満」の入れ替えです。その数字を含むかどうかが分かれ目です。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8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返済能力の調査　（単純択一）</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貸金業法第13条（返済能力の調査）</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9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返済能力の調査　（個数）</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貸金業法第13条（返済能力の調査）　貸金業法施行規則第1条の2の3（個人信用情報の対象とならない契約）</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30" w:line="300"/>
        <w:ind w:left="240"/>
      </w:pPr>
      <w:r>
        <w:rPr>
          <w:rFonts w:ascii="Meiryo" w:cs="Meiryo" w:eastAsia="Meiryo" w:hAnsi="Meiryo"/>
          <w:b/>
          <w:bCs/>
          <w:sz w:val="21"/>
          <w:szCs w:val="21"/>
        </w:rPr>
        <w:t xml:space="preserve">金額の基準：</w:t>
      </w:r>
      <w:r>
        <w:rPr>
          <w:rFonts w:ascii="Meiryo" w:cs="Meiryo" w:eastAsia="Meiryo" w:hAnsi="Meiryo"/>
          <w:sz w:val="21"/>
          <w:szCs w:val="21"/>
        </w:rPr>
        <w:t xml:space="preserve">「50万円」「100万円」「10万円」など、基準となる金額の入れ替えです。書面徴求や総量規制の閾値は、数字そのものが問われます。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10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総量規制・過剰貸付けの禁止　（組合せ）</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期間の数字：</w:t>
      </w:r>
      <w:r>
        <w:rPr>
          <w:rFonts w:ascii="Meiryo" w:cs="Meiryo" w:eastAsia="Meiryo" w:hAnsi="Meiryo"/>
          <w:sz w:val="21"/>
          <w:szCs w:val="21"/>
        </w:rPr>
        <w:t xml:space="preserve">「2週間」「1か月」「30日」など、期間の数字の入れ替えです。届出は2週間、登録の有効期間は3年、といった数字は表にして覚えるのが確実です。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11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貸付条件等の掲示・標識　（組合せ）</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貸金業法第14条（貸付条件等の掲示）　貸金業法第12条の8（利息、保証料等に係る制限等）</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12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契約締結前の書面　（個数）</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貸金業法第16条の2（契約締結前の書面の交付）</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13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受取証書・帳簿・書面の保存　（単純択一）</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貸金業法第18条（受取証書の交付）</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全部か一部か：</w:t>
      </w:r>
      <w:r>
        <w:rPr>
          <w:rFonts w:ascii="Meiryo" w:cs="Meiryo" w:eastAsia="Meiryo" w:hAnsi="Meiryo"/>
          <w:sz w:val="21"/>
          <w:szCs w:val="21"/>
        </w:rPr>
        <w:t xml:space="preserve">「すべて」と「一部」、「限る」と「限らない」の入れ替えです。例外があるかないかで結論が変わります。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14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取立て行為の規制　（個数）</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15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登録・届出　（単純択一）</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誰が・誰に：</w:t>
      </w:r>
      <w:r>
        <w:rPr>
          <w:rFonts w:ascii="Meiryo" w:cs="Meiryo" w:eastAsia="Meiryo" w:hAnsi="Meiryo"/>
          <w:sz w:val="21"/>
          <w:szCs w:val="21"/>
        </w:rPr>
        <w:t xml:space="preserve">手続の相手方や権限者の入れ替えです。内閣総理大臣なのか都道府県知事なのか、貸金業者なのか指定信用情報機関なのかを、条文ごとに確認してください。</w:t>
      </w:r>
    </w:p>
    <w:p>
      <w:pPr>
        <w:spacing w:after="30" w:line="300"/>
        <w:ind w:left="240"/>
      </w:pPr>
      <w:r>
        <w:rPr>
          <w:rFonts w:ascii="Meiryo" w:cs="Meiryo" w:eastAsia="Meiryo" w:hAnsi="Meiryo"/>
          <w:b/>
          <w:bCs/>
          <w:sz w:val="21"/>
          <w:szCs w:val="21"/>
        </w:rPr>
        <w:t xml:space="preserve">必要か不要か：</w:t>
      </w:r>
      <w:r>
        <w:rPr>
          <w:rFonts w:ascii="Meiryo" w:cs="Meiryo" w:eastAsia="Meiryo" w:hAnsi="Meiryo"/>
          <w:sz w:val="21"/>
          <w:szCs w:val="21"/>
        </w:rPr>
        <w:t xml:space="preserve">「必要がある」と「必要はない」の入れ替えです。手続が要るケースと要らないケースを対にして覚えてください。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16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利息制限法・みなし利息　（単純択一）</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金額の基準：</w:t>
      </w:r>
      <w:r>
        <w:rPr>
          <w:rFonts w:ascii="Meiryo" w:cs="Meiryo" w:eastAsia="Meiryo" w:hAnsi="Meiryo"/>
          <w:sz w:val="21"/>
          <w:szCs w:val="21"/>
        </w:rPr>
        <w:t xml:space="preserve">「50万円」「100万円」「10万円」など、基準となる金額の入れ替えです。書面徴求や総量規制の閾値は、数字そのものが問われます。</w:t>
      </w:r>
    </w:p>
    <w:p>
      <w:pPr>
        <w:spacing w:after="30" w:line="300"/>
        <w:ind w:left="240"/>
      </w:pPr>
      <w:r>
        <w:rPr>
          <w:rFonts w:ascii="Meiryo" w:cs="Meiryo" w:eastAsia="Meiryo" w:hAnsi="Meiryo"/>
          <w:b/>
          <w:bCs/>
          <w:sz w:val="21"/>
          <w:szCs w:val="21"/>
        </w:rPr>
        <w:t xml:space="preserve">全部か一部か：</w:t>
      </w:r>
      <w:r>
        <w:rPr>
          <w:rFonts w:ascii="Meiryo" w:cs="Meiryo" w:eastAsia="Meiryo" w:hAnsi="Meiryo"/>
          <w:sz w:val="21"/>
          <w:szCs w:val="21"/>
        </w:rPr>
        <w:t xml:space="preserve">「すべて」と「一部」、「限る」と「限らない」の入れ替えです。例外があるかないかで結論が変わります。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17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登録・届出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貸金業法第6条（登録の拒否）　貸金業法第24条の6の4（監督上の処分）</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18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登録・届出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貸金業法第8条（変更の届出）</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誰が・誰に：</w:t>
      </w:r>
      <w:r>
        <w:rPr>
          <w:rFonts w:ascii="Meiryo" w:cs="Meiryo" w:eastAsia="Meiryo" w:hAnsi="Meiryo"/>
          <w:sz w:val="21"/>
          <w:szCs w:val="21"/>
        </w:rPr>
        <w:t xml:space="preserve">手続の相手方や権限者の入れ替えです。内閣総理大臣なのか都道府県知事なのか、貸金業者なのか指定信用情報機関なのかを、条文ごとに確認してください。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19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犯罪収益移転防止・反社会的勢力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20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保証・連帯債務　（単純択一・否定形）</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21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総量規制・過剰貸付けの禁止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貸金業法第13条の2（過剰貸付け等の禁止）　貸金業法施行規則第10条の21（個人過剰貸付契約から除かれる契約）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22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契約締結前の書面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貸金業法第16条の2（契約締結前の書面の交付）　貸金業法施行規則第12条の2（契約締結前の書面の交付）　貸金業法第17条（契約締結時の書面の交付）</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いつまでに：</w:t>
      </w:r>
      <w:r>
        <w:rPr>
          <w:rFonts w:ascii="Meiryo" w:cs="Meiryo" w:eastAsia="Meiryo" w:hAnsi="Meiryo"/>
          <w:sz w:val="21"/>
          <w:szCs w:val="21"/>
        </w:rPr>
        <w:t xml:space="preserve">「遅滞なく」「あらかじめ」「直ちに」「その日のうちに」など、時期の入れ替えです。いつ時点で何をするのかを、行為ごとに紐づけてください。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23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契約締結時の書面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貸金業法第17条（契約締結時の書面の交付）</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24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総量規制・過剰貸付けの禁止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貸金業法第12条の4（証明書の携帯等）　貸金業法施行規則第10条の21（個人過剰貸付契約から除かれる契約）　貸金業法第19条（帳簿の備付け）</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25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監督・行政処分・立入検査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貸金業法第24条の6の10（報告徴収及び立入検査）　貸金業法第24条の6の3（業務改善命令）　貸金業法第24条の6の4（監督上の処分）</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26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指定信用情報機関・信用情報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貸金業法第41条の35（個人信用情報の提供）　貸金業法施行規則第30条の15（信用情報の提供等に係る配偶者の同意の取得等）</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いつまでに：</w:t>
      </w:r>
      <w:r>
        <w:rPr>
          <w:rFonts w:ascii="Meiryo" w:cs="Meiryo" w:eastAsia="Meiryo" w:hAnsi="Meiryo"/>
          <w:sz w:val="21"/>
          <w:szCs w:val="21"/>
        </w:rPr>
        <w:t xml:space="preserve">「遅滞なく」「あらかじめ」「直ちに」「その日のうちに」など、時期の入れ替えです。いつ時点で何をするのかを、行為ごとに紐づけてください。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27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契約締結時の書面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貸金業法第17条（契約締結時の書面の交付）</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28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意思表示・代理・行為能力　（単純択一）</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有効か無効か：</w:t>
      </w:r>
      <w:r>
        <w:rPr>
          <w:rFonts w:ascii="Meiryo" w:cs="Meiryo" w:eastAsia="Meiryo" w:hAnsi="Meiryo"/>
          <w:sz w:val="21"/>
          <w:szCs w:val="21"/>
        </w:rPr>
        <w:t xml:space="preserve">「無効」「取り消すことができる」「有効」の入れ替えです。効果が当然に生じるのか、主張してはじめて生じるのかが分かれ目です。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29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意思表示・代理・行為能力　（単純択一）</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有効か無効か：</w:t>
      </w:r>
      <w:r>
        <w:rPr>
          <w:rFonts w:ascii="Meiryo" w:cs="Meiryo" w:eastAsia="Meiryo" w:hAnsi="Meiryo"/>
          <w:sz w:val="21"/>
          <w:szCs w:val="21"/>
        </w:rPr>
        <w:t xml:space="preserve">「無効」「取り消すことができる」「有効」の入れ替えです。効果が当然に生じるのか、主張してはじめて生じるのかが分かれ目です。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30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契約の無効・取消し・条件期限　（単純択一）</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期間の数字：</w:t>
      </w:r>
      <w:r>
        <w:rPr>
          <w:rFonts w:ascii="Meiryo" w:cs="Meiryo" w:eastAsia="Meiryo" w:hAnsi="Meiryo"/>
          <w:sz w:val="21"/>
          <w:szCs w:val="21"/>
        </w:rPr>
        <w:t xml:space="preserve">「2週間」「1か月」「30日」など、期間の数字の入れ替えです。届出は2週間、登録の有効期間は3年、といった数字は表にして覚えるのが確実です。</w:t>
      </w:r>
    </w:p>
    <w:p>
      <w:pPr>
        <w:spacing w:after="30" w:line="300"/>
        <w:ind w:left="240"/>
      </w:pPr>
      <w:r>
        <w:rPr>
          <w:rFonts w:ascii="Meiryo" w:cs="Meiryo" w:eastAsia="Meiryo" w:hAnsi="Meiryo"/>
          <w:b/>
          <w:bCs/>
          <w:sz w:val="21"/>
          <w:szCs w:val="21"/>
        </w:rPr>
        <w:t xml:space="preserve">有効か無効か：</w:t>
      </w:r>
      <w:r>
        <w:rPr>
          <w:rFonts w:ascii="Meiryo" w:cs="Meiryo" w:eastAsia="Meiryo" w:hAnsi="Meiryo"/>
          <w:sz w:val="21"/>
          <w:szCs w:val="21"/>
        </w:rPr>
        <w:t xml:space="preserve">「無効」「取り消すことができる」「有効」の入れ替えです。効果が当然に生じるのか、主張してはじめて生じるのかが分かれ目です。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31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担保（抵当権・質権など）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32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意思表示・代理・行為能力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33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弁済・相殺・債権の消滅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34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相続・親族　（単純択一）</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民法第891条（相続人の欠格事由）</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35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手形・小切手・電子記録債権　（単純択一）</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全部か一部か：</w:t>
      </w:r>
      <w:r>
        <w:rPr>
          <w:rFonts w:ascii="Meiryo" w:cs="Meiryo" w:eastAsia="Meiryo" w:hAnsi="Meiryo"/>
          <w:sz w:val="21"/>
          <w:szCs w:val="21"/>
        </w:rPr>
        <w:t xml:space="preserve">「すべて」と「一部」、「限る」と「限らない」の入れ替えです。例外があるかないかで結論が変わります。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36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犯罪収益移転防止・反社会的勢力　（単純択一）</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37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意思表示・代理・行為能力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38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時効　（単純択一・否定形）</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期間の数字：</w:t>
      </w:r>
      <w:r>
        <w:rPr>
          <w:rFonts w:ascii="Meiryo" w:cs="Meiryo" w:eastAsia="Meiryo" w:hAnsi="Meiryo"/>
          <w:sz w:val="21"/>
          <w:szCs w:val="21"/>
        </w:rPr>
        <w:t xml:space="preserve">「2週間」「1か月」「30日」など、期間の数字の入れ替えです。届出は2週間、登録の有効期間は3年、といった数字は表にして覚えるのが確実です。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39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保証・連帯債務　（単純択一・否定形）</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期間の数字：</w:t>
      </w:r>
      <w:r>
        <w:rPr>
          <w:rFonts w:ascii="Meiryo" w:cs="Meiryo" w:eastAsia="Meiryo" w:hAnsi="Meiryo"/>
          <w:sz w:val="21"/>
          <w:szCs w:val="21"/>
        </w:rPr>
        <w:t xml:space="preserve">「2週間」「1か月」「30日」など、期間の数字の入れ替えです。届出は2週間、登録の有効期間は3年、といった数字は表にして覚えるのが確実です。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40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弁済・相殺・債権の消滅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41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契約一般・消費貸借　（単純択一・否定形）</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42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時効　（単純択一・否定形）</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期間の数字：</w:t>
      </w:r>
      <w:r>
        <w:rPr>
          <w:rFonts w:ascii="Meiryo" w:cs="Meiryo" w:eastAsia="Meiryo" w:hAnsi="Meiryo"/>
          <w:sz w:val="21"/>
          <w:szCs w:val="21"/>
        </w:rPr>
        <w:t xml:space="preserve">「2週間」「1か月」「30日」など、期間の数字の入れ替えです。届出は2週間、登録の有効期間は3年、といった数字は表にして覚えるのが確実です。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43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資金需要者保護 ／ 個人情報の保護　（単純択一）</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30" w:line="300"/>
        <w:ind w:left="240"/>
      </w:pPr>
      <w:r>
        <w:rPr>
          <w:rFonts w:ascii="Meiryo" w:cs="Meiryo" w:eastAsia="Meiryo" w:hAnsi="Meiryo"/>
          <w:b/>
          <w:bCs/>
          <w:sz w:val="21"/>
          <w:szCs w:val="21"/>
        </w:rPr>
        <w:t xml:space="preserve">必要か不要か：</w:t>
      </w:r>
      <w:r>
        <w:rPr>
          <w:rFonts w:ascii="Meiryo" w:cs="Meiryo" w:eastAsia="Meiryo" w:hAnsi="Meiryo"/>
          <w:sz w:val="21"/>
          <w:szCs w:val="21"/>
        </w:rPr>
        <w:t xml:space="preserve">「必要がある」と「必要はない」の入れ替えです。手続が要るケースと要らないケースを対にして覚えてください。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44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資金需要者保護 ／ 消費者保護（消費者契約法など）　（単純択一）</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消費者契約法第2条（定義）</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45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資金需要者保護 ／ 広告・勧誘の規制　（単純択一）</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46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資金需要者保護 ／ 消費者保護（消費者契約法など）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景品表示法第5条（不当な表示の禁止）　景品表示法第7条（措置命令）　景品表示法第4条（景品類の制限及び禁止）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47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資金需要者保護 ／ 苦情処理・紛争解決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48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財務会計 ／ 損益計算書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49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財務会計 ／ 企業会計原則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50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財務会計 ／ 貸借対照表　（単純択一・否定形）</w:t>
      </w:r>
    </w:p>
    <w:p>
      <w:pPr>
        <w:spacing w:after="130" w:line="300"/>
      </w:pPr>
      <w:r>
        <w:rPr>
          <w:rFonts w:ascii="Meiryo" w:cs="Meiryo" w:eastAsia="Meiryo" w:hAnsi="Meiryo"/>
          <w:sz w:val="21"/>
          <w:szCs w:val="21"/>
        </w:rPr>
        <w:t xml:space="preserve"/>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令和2年度 第15回 貸金業務取扱主任者資格試験</dc:title>
  <dc:creator>貸金業務取扱主任者 過去問1000</dc:creator>
  <cp:lastModifiedBy>Un-named</cp:lastModifiedBy>
  <cp:revision>1</cp:revision>
  <dcterms:created xsi:type="dcterms:W3CDTF">2026-07-31T14:41:51.503Z</dcterms:created>
  <dcterms:modified xsi:type="dcterms:W3CDTF">2026-07-31T14:41:51.503Z</dcterms:modified>
</cp:coreProperties>
</file>

<file path=docProps/custom.xml><?xml version="1.0" encoding="utf-8"?>
<Properties xmlns="http://schemas.openxmlformats.org/officeDocument/2006/custom-properties" xmlns:vt="http://schemas.openxmlformats.org/officeDocument/2006/docPropsVTypes"/>
</file>