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C5FABB" w14:textId="77777777" w:rsidR="00AB52CF" w:rsidRDefault="00000000">
      <w:pPr>
        <w:spacing w:before="800" w:after="80"/>
        <w:jc w:val="center"/>
      </w:pPr>
      <w:r>
        <w:rPr>
          <w:b/>
          <w:bCs/>
          <w:color w:val="0D1F3C"/>
          <w:sz w:val="48"/>
          <w:szCs w:val="48"/>
        </w:rPr>
        <w:t>Predictive Forecasting of</w:t>
      </w:r>
    </w:p>
    <w:p w14:paraId="3B30D42A" w14:textId="77777777" w:rsidR="00AB52CF" w:rsidRDefault="00000000">
      <w:pPr>
        <w:spacing w:after="80"/>
        <w:jc w:val="center"/>
      </w:pPr>
      <w:r>
        <w:rPr>
          <w:b/>
          <w:bCs/>
          <w:color w:val="0D1F3C"/>
          <w:sz w:val="48"/>
          <w:szCs w:val="48"/>
        </w:rPr>
        <w:t>Care Load &amp; Placement Demand</w:t>
      </w:r>
    </w:p>
    <w:p w14:paraId="5B482F64" w14:textId="77777777" w:rsidR="00AB52CF" w:rsidRDefault="00000000">
      <w:pPr>
        <w:spacing w:after="240"/>
        <w:jc w:val="center"/>
      </w:pPr>
      <w:r>
        <w:rPr>
          <w:b/>
          <w:bCs/>
          <w:color w:val="0A7B6C"/>
          <w:sz w:val="28"/>
          <w:szCs w:val="28"/>
        </w:rPr>
        <w:t>HHS Unaccompanied Alien Children Program</w:t>
      </w:r>
    </w:p>
    <w:p w14:paraId="7B4EEAE3" w14:textId="77777777" w:rsidR="00AB52CF" w:rsidRDefault="00AB52CF">
      <w:pPr>
        <w:pBdr>
          <w:bottom w:val="single" w:sz="3" w:space="0" w:color="CBD5E0"/>
        </w:pBdr>
        <w:spacing w:before="160" w:after="160"/>
      </w:pPr>
    </w:p>
    <w:p w14:paraId="1D960552" w14:textId="508ACAF5" w:rsidR="00AB52CF" w:rsidRDefault="00B75A5E">
      <w:pPr>
        <w:spacing w:before="120" w:after="60"/>
        <w:jc w:val="center"/>
      </w:pPr>
      <w:r>
        <w:rPr>
          <w:b/>
          <w:bCs/>
          <w:color w:val="1A2F4E"/>
          <w:sz w:val="24"/>
          <w:szCs w:val="24"/>
        </w:rPr>
        <w:t>Sugnik Mondal</w:t>
      </w:r>
    </w:p>
    <w:p w14:paraId="1F56E233" w14:textId="77777777" w:rsidR="00AB52CF" w:rsidRDefault="00000000">
      <w:pPr>
        <w:spacing w:after="60"/>
        <w:jc w:val="center"/>
      </w:pPr>
      <w:r>
        <w:rPr>
          <w:color w:val="718096"/>
        </w:rPr>
        <w:t xml:space="preserve">Data Science </w:t>
      </w:r>
      <w:proofErr w:type="gramStart"/>
      <w:r>
        <w:rPr>
          <w:color w:val="718096"/>
        </w:rPr>
        <w:t>Intern  |</w:t>
      </w:r>
      <w:proofErr w:type="gramEnd"/>
      <w:r>
        <w:rPr>
          <w:color w:val="718096"/>
        </w:rPr>
        <w:t xml:space="preserve">  Unified Mentor</w:t>
      </w:r>
    </w:p>
    <w:p w14:paraId="633075F9" w14:textId="77777777" w:rsidR="00AB52CF" w:rsidRDefault="00000000">
      <w:pPr>
        <w:spacing w:after="60"/>
        <w:jc w:val="center"/>
      </w:pPr>
      <w:r>
        <w:rPr>
          <w:color w:val="718096"/>
        </w:rPr>
        <w:t>March 2026</w:t>
      </w:r>
    </w:p>
    <w:p w14:paraId="552ABB2E" w14:textId="77777777" w:rsidR="00AB52CF" w:rsidRDefault="00AB52CF">
      <w:pPr>
        <w:spacing w:before="40" w:after="40"/>
      </w:pPr>
    </w:p>
    <w:p w14:paraId="635BB8DD" w14:textId="77777777" w:rsidR="00AB52CF" w:rsidRDefault="00AB52CF">
      <w:pPr>
        <w:spacing w:before="40"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80"/>
        <w:gridCol w:w="3080"/>
        <w:gridCol w:w="3200"/>
      </w:tblGrid>
      <w:tr w:rsidR="00AB52CF" w14:paraId="494FC024" w14:textId="77777777">
        <w:tblPrEx>
          <w:tblCellMar>
            <w:top w:w="0" w:type="dxa"/>
            <w:bottom w:w="0" w:type="dxa"/>
          </w:tblCellMar>
        </w:tblPrEx>
        <w:tc>
          <w:tcPr>
            <w:tcW w:w="3080" w:type="dxa"/>
            <w:tcBorders>
              <w:top w:val="single" w:sz="1" w:space="0" w:color="0A7B6C"/>
              <w:left w:val="single" w:sz="1" w:space="0" w:color="CBD5E0"/>
              <w:bottom w:val="single" w:sz="1" w:space="0" w:color="CBD5E0"/>
              <w:right w:val="single" w:sz="1" w:space="0" w:color="CBD5E0"/>
            </w:tcBorders>
            <w:shd w:val="clear" w:color="auto" w:fill="F7FAFC"/>
            <w:tcMar>
              <w:top w:w="120" w:type="dxa"/>
              <w:left w:w="160" w:type="dxa"/>
              <w:bottom w:w="120" w:type="dxa"/>
              <w:right w:w="160" w:type="dxa"/>
            </w:tcMar>
          </w:tcPr>
          <w:p w14:paraId="50CFD85E" w14:textId="77777777" w:rsidR="00AB52CF" w:rsidRDefault="00000000">
            <w:pPr>
              <w:jc w:val="center"/>
            </w:pPr>
            <w:proofErr w:type="spellStart"/>
            <w:r>
              <w:rPr>
                <w:b/>
                <w:bCs/>
                <w:color w:val="0A7B6C"/>
                <w:sz w:val="24"/>
                <w:szCs w:val="24"/>
              </w:rPr>
              <w:t>XGBoost</w:t>
            </w:r>
            <w:proofErr w:type="spellEnd"/>
          </w:p>
          <w:p w14:paraId="50AC5F12" w14:textId="77777777" w:rsidR="00AB52CF" w:rsidRDefault="00000000">
            <w:pPr>
              <w:jc w:val="center"/>
            </w:pPr>
            <w:r>
              <w:rPr>
                <w:color w:val="4A5568"/>
                <w:sz w:val="20"/>
                <w:szCs w:val="20"/>
              </w:rPr>
              <w:t>MAE: 5.48</w:t>
            </w:r>
          </w:p>
        </w:tc>
        <w:tc>
          <w:tcPr>
            <w:tcW w:w="3080" w:type="dxa"/>
            <w:tcBorders>
              <w:top w:val="single" w:sz="1" w:space="0" w:color="276749"/>
              <w:left w:val="single" w:sz="1" w:space="0" w:color="CBD5E0"/>
              <w:bottom w:val="single" w:sz="1" w:space="0" w:color="CBD5E0"/>
              <w:right w:val="single" w:sz="1" w:space="0" w:color="CBD5E0"/>
            </w:tcBorders>
            <w:shd w:val="clear" w:color="auto" w:fill="F7FAFC"/>
            <w:tcMar>
              <w:top w:w="120" w:type="dxa"/>
              <w:left w:w="160" w:type="dxa"/>
              <w:bottom w:w="120" w:type="dxa"/>
              <w:right w:w="160" w:type="dxa"/>
            </w:tcMar>
          </w:tcPr>
          <w:p w14:paraId="7FC815F8" w14:textId="77777777" w:rsidR="00AB52CF" w:rsidRDefault="00000000">
            <w:pPr>
              <w:jc w:val="center"/>
            </w:pPr>
            <w:r>
              <w:rPr>
                <w:b/>
                <w:bCs/>
                <w:color w:val="276749"/>
                <w:sz w:val="24"/>
                <w:szCs w:val="24"/>
              </w:rPr>
              <w:t>9.6% Better</w:t>
            </w:r>
          </w:p>
          <w:p w14:paraId="39FFC288" w14:textId="77777777" w:rsidR="00AB52CF" w:rsidRDefault="00000000">
            <w:pPr>
              <w:jc w:val="center"/>
            </w:pPr>
            <w:r>
              <w:rPr>
                <w:color w:val="4A5568"/>
                <w:sz w:val="20"/>
                <w:szCs w:val="20"/>
              </w:rPr>
              <w:t>than Naïve Baseline</w:t>
            </w:r>
          </w:p>
        </w:tc>
        <w:tc>
          <w:tcPr>
            <w:tcW w:w="3200" w:type="dxa"/>
            <w:tcBorders>
              <w:top w:val="single" w:sz="1" w:space="0" w:color="1D4ED8"/>
              <w:left w:val="single" w:sz="1" w:space="0" w:color="CBD5E0"/>
              <w:bottom w:val="single" w:sz="1" w:space="0" w:color="CBD5E0"/>
              <w:right w:val="single" w:sz="1" w:space="0" w:color="CBD5E0"/>
            </w:tcBorders>
            <w:shd w:val="clear" w:color="auto" w:fill="F7FAFC"/>
            <w:tcMar>
              <w:top w:w="120" w:type="dxa"/>
              <w:left w:w="160" w:type="dxa"/>
              <w:bottom w:w="120" w:type="dxa"/>
              <w:right w:w="160" w:type="dxa"/>
            </w:tcMar>
          </w:tcPr>
          <w:p w14:paraId="23D6A390" w14:textId="77777777" w:rsidR="00AB52CF" w:rsidRDefault="00000000">
            <w:pPr>
              <w:jc w:val="center"/>
            </w:pPr>
            <w:r>
              <w:rPr>
                <w:b/>
                <w:bCs/>
                <w:color w:val="1D4ED8"/>
                <w:sz w:val="24"/>
                <w:szCs w:val="24"/>
              </w:rPr>
              <w:t>MAPE: 0.23%</w:t>
            </w:r>
          </w:p>
          <w:p w14:paraId="7C4DA213" w14:textId="77777777" w:rsidR="00AB52CF" w:rsidRDefault="00000000">
            <w:pPr>
              <w:jc w:val="center"/>
            </w:pPr>
            <w:r>
              <w:rPr>
                <w:color w:val="4A5568"/>
                <w:sz w:val="20"/>
                <w:szCs w:val="20"/>
              </w:rPr>
              <w:t>99.77% Accuracy</w:t>
            </w:r>
          </w:p>
        </w:tc>
      </w:tr>
    </w:tbl>
    <w:p w14:paraId="138B0E0E" w14:textId="77777777" w:rsidR="00AB52CF" w:rsidRDefault="00AB52CF">
      <w:pPr>
        <w:spacing w:before="40" w:after="40"/>
      </w:pPr>
    </w:p>
    <w:p w14:paraId="58A6F4EB" w14:textId="77777777" w:rsidR="00AB52CF" w:rsidRDefault="00000000">
      <w:r>
        <w:br w:type="page"/>
      </w:r>
    </w:p>
    <w:p w14:paraId="180EC04D" w14:textId="77777777" w:rsidR="00AB52CF" w:rsidRDefault="00000000">
      <w:pPr>
        <w:pStyle w:val="Heading1"/>
      </w:pPr>
      <w:r>
        <w:lastRenderedPageBreak/>
        <w:t>Abstract</w:t>
      </w:r>
    </w:p>
    <w:p w14:paraId="08F41727" w14:textId="77777777" w:rsidR="00AB52CF" w:rsidRDefault="00000000">
      <w:pPr>
        <w:spacing w:before="80" w:after="80"/>
      </w:pPr>
      <w:r>
        <w:t>The U.S. Department of Health &amp; Human Services (HHS) Unaccompanied Alien Children (UAC) Program faces a critical operational challenge: predicting daily care load and discharge demand with sufficient lead time to scale shelter capacity. Without reliable short-term forecasts, program administrators are forced into reactive responses — a costly and inadequate approach when care load can swing from under 2,000 to over 11,000 children within a single year.</w:t>
      </w:r>
    </w:p>
    <w:p w14:paraId="1728EA18" w14:textId="77777777" w:rsidR="00AB52CF" w:rsidRDefault="00000000">
      <w:pPr>
        <w:spacing w:before="80" w:after="80"/>
      </w:pPr>
      <w:r>
        <w:t xml:space="preserve">This paper presents a complete machine learning forecasting system built on 720 real HHS UAC Program records spanning January 2023 to December 2025. Nine forecasting approaches were systematically evaluated — from naïve baselines through statistical time-series models to gradient-boosted ensemble methods. The central finding is that a January 2025 structural break, which reduced care load by 66% in under two weeks, caused all full-window models to fail catastrophically. The solution — recent-window retraining — reduced the </w:t>
      </w:r>
      <w:proofErr w:type="spellStart"/>
      <w:r>
        <w:t>XGBoost</w:t>
      </w:r>
      <w:proofErr w:type="spellEnd"/>
      <w:r>
        <w:t xml:space="preserve"> Mean Absolute Error from 40.66 to 5.48, representing a 9.6% improvement over the naïve persistence baseline and a 99.77% forecast accuracy (MAPE 0.23%).</w:t>
      </w:r>
    </w:p>
    <w:p w14:paraId="17A953AB" w14:textId="77777777" w:rsidR="00AB52CF" w:rsidRDefault="00000000">
      <w:pPr>
        <w:spacing w:before="80" w:after="80"/>
      </w:pPr>
      <w:r>
        <w:t xml:space="preserve">A companion discharge demand model was developed using a separate March 2025 training cutoff, achieving MAE 0.63 children per day. Both models are deployed in a </w:t>
      </w:r>
      <w:proofErr w:type="spellStart"/>
      <w:r>
        <w:t>Streamlit</w:t>
      </w:r>
      <w:proofErr w:type="spellEnd"/>
      <w:r>
        <w:t xml:space="preserve"> dashboard with an early warning system, scenario comparison, and a zero-CSV-dependency prediction interface that operates on live operational data from any future date.</w:t>
      </w:r>
    </w:p>
    <w:p w14:paraId="55FB7C65" w14:textId="77777777" w:rsidR="00AB52CF" w:rsidRDefault="00AB52CF">
      <w:pPr>
        <w:spacing w:before="40"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AB52CF" w14:paraId="4D8BB161" w14:textId="77777777">
        <w:tblPrEx>
          <w:tblCellMar>
            <w:top w:w="0" w:type="dxa"/>
            <w:bottom w:w="0" w:type="dxa"/>
          </w:tblCellMar>
        </w:tblPrEx>
        <w:tc>
          <w:tcPr>
            <w:tcW w:w="9360" w:type="dxa"/>
            <w:tcBorders>
              <w:top w:val="single" w:sz="6" w:space="0" w:color="0A7B6C"/>
              <w:left w:val="thick" w:sz="12" w:space="0" w:color="0A7B6C"/>
              <w:bottom w:val="none" w:sz="0" w:space="0" w:color="FFFFFF"/>
              <w:right w:val="none" w:sz="0" w:space="0" w:color="FFFFFF"/>
            </w:tcBorders>
            <w:shd w:val="clear" w:color="auto" w:fill="E6FFF9"/>
            <w:tcMar>
              <w:top w:w="120" w:type="dxa"/>
              <w:left w:w="200" w:type="dxa"/>
              <w:bottom w:w="120" w:type="dxa"/>
              <w:right w:w="120" w:type="dxa"/>
            </w:tcMar>
          </w:tcPr>
          <w:p w14:paraId="2BE00E27" w14:textId="77777777" w:rsidR="00AB52CF" w:rsidRDefault="00000000">
            <w:r>
              <w:rPr>
                <w:i/>
                <w:iCs/>
                <w:color w:val="2D3748"/>
              </w:rPr>
              <w:t>Key Finding: Training window selection is as important as model selection in the presence of structural breaks. No amount of model complexity can compensate for training data that represents a fundamentally different regime.</w:t>
            </w:r>
          </w:p>
        </w:tc>
      </w:tr>
    </w:tbl>
    <w:p w14:paraId="0320AD75" w14:textId="77777777" w:rsidR="00AB52CF" w:rsidRDefault="00AB52CF">
      <w:pPr>
        <w:spacing w:before="40" w:after="40"/>
      </w:pPr>
    </w:p>
    <w:p w14:paraId="17AB2577" w14:textId="77777777" w:rsidR="00AB52CF" w:rsidRDefault="00000000">
      <w:pPr>
        <w:spacing w:before="80" w:after="80"/>
      </w:pPr>
      <w:r>
        <w:rPr>
          <w:b/>
          <w:bCs/>
        </w:rPr>
        <w:t xml:space="preserve">Keywords: </w:t>
      </w:r>
      <w:r>
        <w:rPr>
          <w:i/>
          <w:iCs/>
        </w:rPr>
        <w:t xml:space="preserve">time-series forecasting, </w:t>
      </w:r>
      <w:proofErr w:type="spellStart"/>
      <w:r>
        <w:rPr>
          <w:i/>
          <w:iCs/>
        </w:rPr>
        <w:t>XGBoost</w:t>
      </w:r>
      <w:proofErr w:type="spellEnd"/>
      <w:r>
        <w:rPr>
          <w:i/>
          <w:iCs/>
        </w:rPr>
        <w:t xml:space="preserve">, structural break, HHS UAC Program, care load prediction, recent-window retraining, early warning system, </w:t>
      </w:r>
      <w:proofErr w:type="spellStart"/>
      <w:r>
        <w:rPr>
          <w:i/>
          <w:iCs/>
        </w:rPr>
        <w:t>Streamlit</w:t>
      </w:r>
      <w:proofErr w:type="spellEnd"/>
      <w:r>
        <w:rPr>
          <w:i/>
          <w:iCs/>
        </w:rPr>
        <w:t xml:space="preserve"> dashboard</w:t>
      </w:r>
    </w:p>
    <w:p w14:paraId="1BC91669" w14:textId="77777777" w:rsidR="00AB52CF" w:rsidRDefault="00000000">
      <w:r>
        <w:br w:type="page"/>
      </w:r>
    </w:p>
    <w:p w14:paraId="0C6D6BE7" w14:textId="77777777" w:rsidR="00AB52CF" w:rsidRDefault="00000000">
      <w:pPr>
        <w:pStyle w:val="Heading1"/>
      </w:pPr>
      <w:r>
        <w:lastRenderedPageBreak/>
        <w:t>1. Introduction</w:t>
      </w:r>
    </w:p>
    <w:p w14:paraId="5CD12168" w14:textId="77777777" w:rsidR="00AB52CF" w:rsidRDefault="00000000">
      <w:pPr>
        <w:pStyle w:val="Heading2"/>
        <w:pBdr>
          <w:bottom w:val="single" w:sz="2" w:space="0" w:color="0A7B6C"/>
        </w:pBdr>
      </w:pPr>
      <w:proofErr w:type="gramStart"/>
      <w:r>
        <w:t>1.1  Background</w:t>
      </w:r>
      <w:proofErr w:type="gramEnd"/>
      <w:r>
        <w:t xml:space="preserve"> &amp; Motivation</w:t>
      </w:r>
    </w:p>
    <w:p w14:paraId="5DFB7E3A" w14:textId="77777777" w:rsidR="00AB52CF" w:rsidRDefault="00000000">
      <w:pPr>
        <w:spacing w:before="80" w:after="80"/>
      </w:pPr>
      <w:r>
        <w:t>The HHS Office of Refugee Resettlement (ORR) is responsible for the care, custody, and placement of unaccompanied migrant children who arrive at the U.S. border without a parent or legal guardian. From the moment a child is transferred from U.S. Customs and Border Protection (CBP) custody into HHS care, the program incurs significant obligations: shelter, medical care, legal services, and ultimately the arrangement of a sponsor placement.</w:t>
      </w:r>
    </w:p>
    <w:p w14:paraId="1426630C" w14:textId="77777777" w:rsidR="00AB52CF" w:rsidRDefault="00000000">
      <w:pPr>
        <w:spacing w:before="80" w:after="80"/>
      </w:pPr>
      <w:r>
        <w:t>The daily care load — the number of children currently in HHS custody — fluctuated between 1,972 and 11,516 children during the January 2023 to December 2025 study period. This 5.8× range makes capacity planning an extremely difficult problem. Shelter operators must make staffing and bed-count decisions days or weeks in advance. Without reliable forecasts, surges cause acute capacity crises while troughs result in costly over-provisioning.</w:t>
      </w:r>
    </w:p>
    <w:p w14:paraId="1FB26D06" w14:textId="77777777" w:rsidR="00AB52CF" w:rsidRDefault="00000000">
      <w:pPr>
        <w:pStyle w:val="Heading2"/>
        <w:pBdr>
          <w:bottom w:val="single" w:sz="2" w:space="0" w:color="0A7B6C"/>
        </w:pBdr>
      </w:pPr>
      <w:proofErr w:type="gramStart"/>
      <w:r>
        <w:t>1.2  Problem</w:t>
      </w:r>
      <w:proofErr w:type="gramEnd"/>
      <w:r>
        <w:t xml:space="preserve"> Statement</w:t>
      </w:r>
    </w:p>
    <w:p w14:paraId="1B0D325C" w14:textId="77777777" w:rsidR="00AB52CF" w:rsidRDefault="00000000">
      <w:pPr>
        <w:spacing w:before="80" w:after="80"/>
      </w:pPr>
      <w:r>
        <w:t>The UAC Program currently lacks a short-term forecasting tool. Decisions about shelter capacity are largely reactive. This project addresses three specific forecasting needs:</w:t>
      </w:r>
    </w:p>
    <w:p w14:paraId="6451A938" w14:textId="77777777" w:rsidR="00AB52CF" w:rsidRDefault="00000000">
      <w:pPr>
        <w:pStyle w:val="ListParagraph"/>
        <w:numPr>
          <w:ilvl w:val="0"/>
          <w:numId w:val="2"/>
        </w:numPr>
        <w:spacing w:before="60" w:after="60"/>
      </w:pPr>
      <w:r>
        <w:rPr>
          <w:b/>
          <w:bCs/>
        </w:rPr>
        <w:t xml:space="preserve">Care Load Forecasting: </w:t>
      </w:r>
      <w:r>
        <w:t>Predict the number of children in HHS care 1 day ahead, with sufficient accuracy to trigger capacity adjustments.</w:t>
      </w:r>
    </w:p>
    <w:p w14:paraId="2BD5B338" w14:textId="77777777" w:rsidR="00AB52CF" w:rsidRDefault="00000000">
      <w:pPr>
        <w:pStyle w:val="ListParagraph"/>
        <w:numPr>
          <w:ilvl w:val="0"/>
          <w:numId w:val="2"/>
        </w:numPr>
        <w:spacing w:before="60" w:after="60"/>
      </w:pPr>
      <w:r>
        <w:rPr>
          <w:b/>
          <w:bCs/>
        </w:rPr>
        <w:t xml:space="preserve">Discharge Demand Forecasting: </w:t>
      </w:r>
      <w:r>
        <w:t>Predict daily discharge volume to allow sponsor placement coordinators to plan outreach and vetting capacity.</w:t>
      </w:r>
    </w:p>
    <w:p w14:paraId="40493812" w14:textId="77777777" w:rsidR="00AB52CF" w:rsidRDefault="00000000">
      <w:pPr>
        <w:pStyle w:val="ListParagraph"/>
        <w:numPr>
          <w:ilvl w:val="0"/>
          <w:numId w:val="2"/>
        </w:numPr>
        <w:spacing w:before="60" w:after="60"/>
      </w:pPr>
      <w:r>
        <w:rPr>
          <w:b/>
          <w:bCs/>
        </w:rPr>
        <w:t xml:space="preserve">Early Warning System: </w:t>
      </w:r>
      <w:r>
        <w:t>Detect approaching surge conditions before thresholds are breached, providing maximum lead time for intervention.</w:t>
      </w:r>
    </w:p>
    <w:p w14:paraId="53F8E461" w14:textId="77777777" w:rsidR="00AB52CF" w:rsidRDefault="00000000">
      <w:pPr>
        <w:pStyle w:val="Heading2"/>
        <w:pBdr>
          <w:bottom w:val="single" w:sz="2" w:space="0" w:color="0A7B6C"/>
        </w:pBdr>
      </w:pPr>
      <w:proofErr w:type="gramStart"/>
      <w:r>
        <w:t>1.3  Scope</w:t>
      </w:r>
      <w:proofErr w:type="gramEnd"/>
      <w:r>
        <w:t xml:space="preserve"> &amp; Deliverables</w:t>
      </w:r>
    </w:p>
    <w:p w14:paraId="0E5E2EEA" w14:textId="77777777" w:rsidR="00AB52CF" w:rsidRDefault="00000000">
      <w:pPr>
        <w:spacing w:before="80" w:after="80"/>
      </w:pPr>
      <w:r>
        <w:t>This project produced four primary deliverables:</w:t>
      </w:r>
    </w:p>
    <w:p w14:paraId="4E3A7A09" w14:textId="77777777" w:rsidR="00AB52CF" w:rsidRDefault="00000000">
      <w:pPr>
        <w:pStyle w:val="ListParagraph"/>
        <w:numPr>
          <w:ilvl w:val="0"/>
          <w:numId w:val="2"/>
        </w:numPr>
        <w:spacing w:before="60" w:after="60"/>
      </w:pPr>
      <w:r>
        <w:t xml:space="preserve">Seven </w:t>
      </w:r>
      <w:proofErr w:type="spellStart"/>
      <w:r>
        <w:t>Jupyter</w:t>
      </w:r>
      <w:proofErr w:type="spellEnd"/>
      <w:r>
        <w:t xml:space="preserve"> notebooks documenting the full data science pipeline from raw data through model evaluation</w:t>
      </w:r>
    </w:p>
    <w:p w14:paraId="3468797F" w14:textId="77777777" w:rsidR="00AB52CF" w:rsidRDefault="00000000">
      <w:pPr>
        <w:pStyle w:val="ListParagraph"/>
        <w:numPr>
          <w:ilvl w:val="0"/>
          <w:numId w:val="2"/>
        </w:numPr>
        <w:spacing w:before="60" w:after="60"/>
      </w:pPr>
      <w:r>
        <w:t xml:space="preserve">Two production-ready </w:t>
      </w:r>
      <w:proofErr w:type="spellStart"/>
      <w:r>
        <w:t>XGBoost</w:t>
      </w:r>
      <w:proofErr w:type="spellEnd"/>
      <w:r>
        <w:t xml:space="preserve"> forecasting models serialised as </w:t>
      </w:r>
      <w:proofErr w:type="spellStart"/>
      <w:r>
        <w:t>joblib</w:t>
      </w:r>
      <w:proofErr w:type="spellEnd"/>
      <w:r>
        <w:t xml:space="preserve"> files</w:t>
      </w:r>
    </w:p>
    <w:p w14:paraId="2709C8E4" w14:textId="77777777" w:rsidR="00AB52CF" w:rsidRDefault="00000000">
      <w:pPr>
        <w:pStyle w:val="ListParagraph"/>
        <w:numPr>
          <w:ilvl w:val="0"/>
          <w:numId w:val="2"/>
        </w:numPr>
        <w:spacing w:before="60" w:after="60"/>
      </w:pPr>
      <w:r>
        <w:t xml:space="preserve">A six-page </w:t>
      </w:r>
      <w:proofErr w:type="spellStart"/>
      <w:r>
        <w:t>Streamlit</w:t>
      </w:r>
      <w:proofErr w:type="spellEnd"/>
      <w:r>
        <w:t xml:space="preserve"> dashboard with live prediction interfaces and an early warning system</w:t>
      </w:r>
    </w:p>
    <w:p w14:paraId="3D6C9ECE" w14:textId="77777777" w:rsidR="00AB52CF" w:rsidRDefault="00000000">
      <w:pPr>
        <w:pStyle w:val="ListParagraph"/>
        <w:numPr>
          <w:ilvl w:val="0"/>
          <w:numId w:val="2"/>
        </w:numPr>
        <w:spacing w:before="60" w:after="60"/>
      </w:pPr>
      <w:r>
        <w:t>This research paper documenting findings, methodology, and key insights</w:t>
      </w:r>
    </w:p>
    <w:p w14:paraId="0B1525B9" w14:textId="77777777" w:rsidR="00AB52CF" w:rsidRDefault="00000000">
      <w:r>
        <w:br w:type="page"/>
      </w:r>
    </w:p>
    <w:p w14:paraId="4554D85D" w14:textId="77777777" w:rsidR="00AB52CF" w:rsidRDefault="00000000">
      <w:pPr>
        <w:pStyle w:val="Heading1"/>
      </w:pPr>
      <w:r>
        <w:lastRenderedPageBreak/>
        <w:t>2. Data</w:t>
      </w:r>
    </w:p>
    <w:p w14:paraId="62FD3D6D" w14:textId="77777777" w:rsidR="00AB52CF" w:rsidRDefault="00000000">
      <w:pPr>
        <w:pStyle w:val="Heading2"/>
        <w:pBdr>
          <w:bottom w:val="single" w:sz="2" w:space="0" w:color="0A7B6C"/>
        </w:pBdr>
      </w:pPr>
      <w:proofErr w:type="gramStart"/>
      <w:r>
        <w:t>2.1  Dataset</w:t>
      </w:r>
      <w:proofErr w:type="gramEnd"/>
      <w:r>
        <w:t xml:space="preserve"> Description</w:t>
      </w:r>
    </w:p>
    <w:p w14:paraId="282A700A" w14:textId="77777777" w:rsidR="00AB52CF" w:rsidRDefault="00000000">
      <w:pPr>
        <w:spacing w:before="80" w:after="80"/>
      </w:pPr>
      <w:r>
        <w:t>The dataset was sourced from publicly available HHS UAC Program records. The raw dataset contained 720 observations covering January 2023 through December 2025, representing real operational data on five programme metrics recorded on non-weekend business days.</w:t>
      </w:r>
    </w:p>
    <w:p w14:paraId="7F19099E" w14:textId="77777777" w:rsidR="00AB52CF" w:rsidRDefault="00AB52CF">
      <w:pPr>
        <w:spacing w:before="40"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3600"/>
        <w:gridCol w:w="3360"/>
      </w:tblGrid>
      <w:tr w:rsidR="00AB52CF" w14:paraId="47794817" w14:textId="77777777">
        <w:tblPrEx>
          <w:tblCellMar>
            <w:top w:w="0" w:type="dxa"/>
            <w:bottom w:w="0" w:type="dxa"/>
          </w:tblCellMar>
        </w:tblPrEx>
        <w:trPr>
          <w:tblHeader/>
        </w:trPr>
        <w:tc>
          <w:tcPr>
            <w:tcW w:w="2400" w:type="dxa"/>
            <w:tcBorders>
              <w:top w:val="single" w:sz="1" w:space="0" w:color="1A2F4E"/>
              <w:left w:val="single" w:sz="1" w:space="0" w:color="1A2F4E"/>
              <w:bottom w:val="single" w:sz="1" w:space="0" w:color="1A2F4E"/>
              <w:right w:val="single" w:sz="1" w:space="0" w:color="1A2F4E"/>
            </w:tcBorders>
            <w:shd w:val="clear" w:color="auto" w:fill="0D1F3C"/>
            <w:tcMar>
              <w:top w:w="100" w:type="dxa"/>
              <w:left w:w="120" w:type="dxa"/>
              <w:bottom w:w="100" w:type="dxa"/>
              <w:right w:w="120" w:type="dxa"/>
            </w:tcMar>
          </w:tcPr>
          <w:p w14:paraId="7E92F85E" w14:textId="77777777" w:rsidR="00AB52CF" w:rsidRDefault="00000000">
            <w:pPr>
              <w:jc w:val="center"/>
            </w:pPr>
            <w:r>
              <w:rPr>
                <w:b/>
                <w:bCs/>
                <w:color w:val="FFFFFF"/>
                <w:sz w:val="20"/>
                <w:szCs w:val="20"/>
              </w:rPr>
              <w:t>Column</w:t>
            </w:r>
          </w:p>
        </w:tc>
        <w:tc>
          <w:tcPr>
            <w:tcW w:w="3600" w:type="dxa"/>
            <w:tcBorders>
              <w:top w:val="single" w:sz="1" w:space="0" w:color="1A2F4E"/>
              <w:left w:val="single" w:sz="1" w:space="0" w:color="1A2F4E"/>
              <w:bottom w:val="single" w:sz="1" w:space="0" w:color="1A2F4E"/>
              <w:right w:val="single" w:sz="1" w:space="0" w:color="1A2F4E"/>
            </w:tcBorders>
            <w:shd w:val="clear" w:color="auto" w:fill="0D1F3C"/>
            <w:tcMar>
              <w:top w:w="100" w:type="dxa"/>
              <w:left w:w="120" w:type="dxa"/>
              <w:bottom w:w="100" w:type="dxa"/>
              <w:right w:w="120" w:type="dxa"/>
            </w:tcMar>
          </w:tcPr>
          <w:p w14:paraId="674F25A8" w14:textId="77777777" w:rsidR="00AB52CF" w:rsidRDefault="00000000">
            <w:pPr>
              <w:jc w:val="center"/>
            </w:pPr>
            <w:r>
              <w:rPr>
                <w:b/>
                <w:bCs/>
                <w:color w:val="FFFFFF"/>
                <w:sz w:val="20"/>
                <w:szCs w:val="20"/>
              </w:rPr>
              <w:t>Description</w:t>
            </w:r>
          </w:p>
        </w:tc>
        <w:tc>
          <w:tcPr>
            <w:tcW w:w="3360" w:type="dxa"/>
            <w:tcBorders>
              <w:top w:val="single" w:sz="1" w:space="0" w:color="1A2F4E"/>
              <w:left w:val="single" w:sz="1" w:space="0" w:color="1A2F4E"/>
              <w:bottom w:val="single" w:sz="1" w:space="0" w:color="1A2F4E"/>
              <w:right w:val="single" w:sz="1" w:space="0" w:color="1A2F4E"/>
            </w:tcBorders>
            <w:shd w:val="clear" w:color="auto" w:fill="0D1F3C"/>
            <w:tcMar>
              <w:top w:w="100" w:type="dxa"/>
              <w:left w:w="120" w:type="dxa"/>
              <w:bottom w:w="100" w:type="dxa"/>
              <w:right w:w="120" w:type="dxa"/>
            </w:tcMar>
          </w:tcPr>
          <w:p w14:paraId="62649371" w14:textId="77777777" w:rsidR="00AB52CF" w:rsidRDefault="00000000">
            <w:pPr>
              <w:jc w:val="center"/>
            </w:pPr>
            <w:r>
              <w:rPr>
                <w:b/>
                <w:bCs/>
                <w:color w:val="FFFFFF"/>
                <w:sz w:val="20"/>
                <w:szCs w:val="20"/>
              </w:rPr>
              <w:t>Range / Notes</w:t>
            </w:r>
          </w:p>
        </w:tc>
      </w:tr>
      <w:tr w:rsidR="00AB52CF" w14:paraId="67F8E006" w14:textId="77777777">
        <w:tblPrEx>
          <w:tblCellMar>
            <w:top w:w="0" w:type="dxa"/>
            <w:bottom w:w="0" w:type="dxa"/>
          </w:tblCellMar>
        </w:tblPrEx>
        <w:tc>
          <w:tcPr>
            <w:tcW w:w="2400" w:type="dxa"/>
            <w:tcBorders>
              <w:top w:val="single" w:sz="1" w:space="0" w:color="CBD5E0"/>
              <w:left w:val="single" w:sz="1" w:space="0" w:color="CBD5E0"/>
              <w:bottom w:val="single" w:sz="1" w:space="0" w:color="CBD5E0"/>
              <w:right w:val="single" w:sz="1" w:space="0" w:color="CBD5E0"/>
            </w:tcBorders>
            <w:shd w:val="clear" w:color="auto" w:fill="FFFFFF"/>
            <w:tcMar>
              <w:top w:w="80" w:type="dxa"/>
              <w:left w:w="120" w:type="dxa"/>
              <w:bottom w:w="80" w:type="dxa"/>
              <w:right w:w="120" w:type="dxa"/>
            </w:tcMar>
          </w:tcPr>
          <w:p w14:paraId="12CF85BB" w14:textId="77777777" w:rsidR="00AB52CF" w:rsidRDefault="00000000">
            <w:r>
              <w:rPr>
                <w:b/>
                <w:bCs/>
                <w:color w:val="0D1F3C"/>
                <w:sz w:val="20"/>
                <w:szCs w:val="20"/>
              </w:rPr>
              <w:t>Date</w:t>
            </w:r>
          </w:p>
        </w:tc>
        <w:tc>
          <w:tcPr>
            <w:tcW w:w="3600" w:type="dxa"/>
            <w:tcBorders>
              <w:top w:val="single" w:sz="1" w:space="0" w:color="CBD5E0"/>
              <w:left w:val="single" w:sz="1" w:space="0" w:color="CBD5E0"/>
              <w:bottom w:val="single" w:sz="1" w:space="0" w:color="CBD5E0"/>
              <w:right w:val="single" w:sz="1" w:space="0" w:color="CBD5E0"/>
            </w:tcBorders>
            <w:shd w:val="clear" w:color="auto" w:fill="E6FFF9"/>
            <w:tcMar>
              <w:top w:w="80" w:type="dxa"/>
              <w:left w:w="120" w:type="dxa"/>
              <w:bottom w:w="80" w:type="dxa"/>
              <w:right w:w="120" w:type="dxa"/>
            </w:tcMar>
          </w:tcPr>
          <w:p w14:paraId="3E4A1593" w14:textId="77777777" w:rsidR="00AB52CF" w:rsidRDefault="00000000">
            <w:pPr>
              <w:jc w:val="center"/>
            </w:pPr>
            <w:r>
              <w:rPr>
                <w:b/>
                <w:bCs/>
                <w:color w:val="0A7B6C"/>
                <w:sz w:val="20"/>
                <w:szCs w:val="20"/>
              </w:rPr>
              <w:t>Observation date</w:t>
            </w:r>
          </w:p>
        </w:tc>
        <w:tc>
          <w:tcPr>
            <w:tcW w:w="3360" w:type="dxa"/>
            <w:tcBorders>
              <w:top w:val="single" w:sz="1" w:space="0" w:color="CBD5E0"/>
              <w:left w:val="single" w:sz="1" w:space="0" w:color="CBD5E0"/>
              <w:bottom w:val="single" w:sz="1" w:space="0" w:color="CBD5E0"/>
              <w:right w:val="single" w:sz="1" w:space="0" w:color="CBD5E0"/>
            </w:tcBorders>
            <w:shd w:val="clear" w:color="auto" w:fill="E6FFF9"/>
            <w:tcMar>
              <w:top w:w="80" w:type="dxa"/>
              <w:left w:w="120" w:type="dxa"/>
              <w:bottom w:w="80" w:type="dxa"/>
              <w:right w:w="120" w:type="dxa"/>
            </w:tcMar>
          </w:tcPr>
          <w:p w14:paraId="3B2A7C8C" w14:textId="77777777" w:rsidR="00AB52CF" w:rsidRDefault="00000000">
            <w:pPr>
              <w:jc w:val="center"/>
            </w:pPr>
            <w:r>
              <w:rPr>
                <w:b/>
                <w:bCs/>
                <w:color w:val="0A7B6C"/>
                <w:sz w:val="20"/>
                <w:szCs w:val="20"/>
              </w:rPr>
              <w:t>Jan 2023 – Dec 2025</w:t>
            </w:r>
          </w:p>
        </w:tc>
      </w:tr>
      <w:tr w:rsidR="00AB52CF" w14:paraId="21243397" w14:textId="77777777">
        <w:tblPrEx>
          <w:tblCellMar>
            <w:top w:w="0" w:type="dxa"/>
            <w:bottom w:w="0" w:type="dxa"/>
          </w:tblCellMar>
        </w:tblPrEx>
        <w:tc>
          <w:tcPr>
            <w:tcW w:w="2400" w:type="dxa"/>
            <w:tcBorders>
              <w:top w:val="single" w:sz="1" w:space="0" w:color="CBD5E0"/>
              <w:left w:val="single" w:sz="1" w:space="0" w:color="CBD5E0"/>
              <w:bottom w:val="single" w:sz="1" w:space="0" w:color="CBD5E0"/>
              <w:right w:val="single" w:sz="1" w:space="0" w:color="CBD5E0"/>
            </w:tcBorders>
            <w:shd w:val="clear" w:color="auto" w:fill="F7FAFC"/>
            <w:tcMar>
              <w:top w:w="80" w:type="dxa"/>
              <w:left w:w="120" w:type="dxa"/>
              <w:bottom w:w="80" w:type="dxa"/>
              <w:right w:w="120" w:type="dxa"/>
            </w:tcMar>
          </w:tcPr>
          <w:p w14:paraId="51B725DD" w14:textId="77777777" w:rsidR="00AB52CF" w:rsidRDefault="00000000">
            <w:proofErr w:type="spellStart"/>
            <w:r>
              <w:rPr>
                <w:color w:val="0D1F3C"/>
                <w:sz w:val="20"/>
                <w:szCs w:val="20"/>
              </w:rPr>
              <w:t>cbp_apprehended</w:t>
            </w:r>
            <w:proofErr w:type="spellEnd"/>
          </w:p>
        </w:tc>
        <w:tc>
          <w:tcPr>
            <w:tcW w:w="3600" w:type="dxa"/>
            <w:tcBorders>
              <w:top w:val="single" w:sz="1" w:space="0" w:color="CBD5E0"/>
              <w:left w:val="single" w:sz="1" w:space="0" w:color="CBD5E0"/>
              <w:bottom w:val="single" w:sz="1" w:space="0" w:color="CBD5E0"/>
              <w:right w:val="single" w:sz="1" w:space="0" w:color="CBD5E0"/>
            </w:tcBorders>
            <w:shd w:val="clear" w:color="auto" w:fill="F7FAFC"/>
            <w:tcMar>
              <w:top w:w="80" w:type="dxa"/>
              <w:left w:w="120" w:type="dxa"/>
              <w:bottom w:w="80" w:type="dxa"/>
              <w:right w:w="120" w:type="dxa"/>
            </w:tcMar>
          </w:tcPr>
          <w:p w14:paraId="7A346766" w14:textId="77777777" w:rsidR="00AB52CF" w:rsidRDefault="00000000">
            <w:pPr>
              <w:jc w:val="center"/>
            </w:pPr>
            <w:r>
              <w:rPr>
                <w:sz w:val="20"/>
                <w:szCs w:val="20"/>
              </w:rPr>
              <w:t>Children apprehended by CBP</w:t>
            </w:r>
          </w:p>
        </w:tc>
        <w:tc>
          <w:tcPr>
            <w:tcW w:w="3360" w:type="dxa"/>
            <w:tcBorders>
              <w:top w:val="single" w:sz="1" w:space="0" w:color="CBD5E0"/>
              <w:left w:val="single" w:sz="1" w:space="0" w:color="CBD5E0"/>
              <w:bottom w:val="single" w:sz="1" w:space="0" w:color="CBD5E0"/>
              <w:right w:val="single" w:sz="1" w:space="0" w:color="CBD5E0"/>
            </w:tcBorders>
            <w:shd w:val="clear" w:color="auto" w:fill="F7FAFC"/>
            <w:tcMar>
              <w:top w:w="80" w:type="dxa"/>
              <w:left w:w="120" w:type="dxa"/>
              <w:bottom w:w="80" w:type="dxa"/>
              <w:right w:w="120" w:type="dxa"/>
            </w:tcMar>
          </w:tcPr>
          <w:p w14:paraId="476FA545" w14:textId="77777777" w:rsidR="00AB52CF" w:rsidRDefault="00000000">
            <w:pPr>
              <w:jc w:val="center"/>
            </w:pPr>
            <w:r>
              <w:rPr>
                <w:sz w:val="20"/>
                <w:szCs w:val="20"/>
              </w:rPr>
              <w:t>0 – 862 / day</w:t>
            </w:r>
          </w:p>
        </w:tc>
      </w:tr>
      <w:tr w:rsidR="00AB52CF" w14:paraId="45BEE030" w14:textId="77777777">
        <w:tblPrEx>
          <w:tblCellMar>
            <w:top w:w="0" w:type="dxa"/>
            <w:bottom w:w="0" w:type="dxa"/>
          </w:tblCellMar>
        </w:tblPrEx>
        <w:tc>
          <w:tcPr>
            <w:tcW w:w="2400" w:type="dxa"/>
            <w:tcBorders>
              <w:top w:val="single" w:sz="1" w:space="0" w:color="CBD5E0"/>
              <w:left w:val="single" w:sz="1" w:space="0" w:color="CBD5E0"/>
              <w:bottom w:val="single" w:sz="1" w:space="0" w:color="CBD5E0"/>
              <w:right w:val="single" w:sz="1" w:space="0" w:color="CBD5E0"/>
            </w:tcBorders>
            <w:shd w:val="clear" w:color="auto" w:fill="FFFFFF"/>
            <w:tcMar>
              <w:top w:w="80" w:type="dxa"/>
              <w:left w:w="120" w:type="dxa"/>
              <w:bottom w:w="80" w:type="dxa"/>
              <w:right w:w="120" w:type="dxa"/>
            </w:tcMar>
          </w:tcPr>
          <w:p w14:paraId="04DBF470" w14:textId="77777777" w:rsidR="00AB52CF" w:rsidRDefault="00000000">
            <w:proofErr w:type="spellStart"/>
            <w:r>
              <w:rPr>
                <w:color w:val="0D1F3C"/>
                <w:sz w:val="20"/>
                <w:szCs w:val="20"/>
              </w:rPr>
              <w:t>cbp_custody</w:t>
            </w:r>
            <w:proofErr w:type="spellEnd"/>
          </w:p>
        </w:tc>
        <w:tc>
          <w:tcPr>
            <w:tcW w:w="3600" w:type="dxa"/>
            <w:tcBorders>
              <w:top w:val="single" w:sz="1" w:space="0" w:color="CBD5E0"/>
              <w:left w:val="single" w:sz="1" w:space="0" w:color="CBD5E0"/>
              <w:bottom w:val="single" w:sz="1" w:space="0" w:color="CBD5E0"/>
              <w:right w:val="single" w:sz="1" w:space="0" w:color="CBD5E0"/>
            </w:tcBorders>
            <w:shd w:val="clear" w:color="auto" w:fill="FFFFFF"/>
            <w:tcMar>
              <w:top w:w="80" w:type="dxa"/>
              <w:left w:w="120" w:type="dxa"/>
              <w:bottom w:w="80" w:type="dxa"/>
              <w:right w:w="120" w:type="dxa"/>
            </w:tcMar>
          </w:tcPr>
          <w:p w14:paraId="053D123B" w14:textId="77777777" w:rsidR="00AB52CF" w:rsidRDefault="00000000">
            <w:pPr>
              <w:jc w:val="center"/>
            </w:pPr>
            <w:r>
              <w:rPr>
                <w:sz w:val="20"/>
                <w:szCs w:val="20"/>
              </w:rPr>
              <w:t>Children in CBP custody</w:t>
            </w:r>
          </w:p>
        </w:tc>
        <w:tc>
          <w:tcPr>
            <w:tcW w:w="3360" w:type="dxa"/>
            <w:tcBorders>
              <w:top w:val="single" w:sz="1" w:space="0" w:color="CBD5E0"/>
              <w:left w:val="single" w:sz="1" w:space="0" w:color="CBD5E0"/>
              <w:bottom w:val="single" w:sz="1" w:space="0" w:color="CBD5E0"/>
              <w:right w:val="single" w:sz="1" w:space="0" w:color="CBD5E0"/>
            </w:tcBorders>
            <w:shd w:val="clear" w:color="auto" w:fill="FFFFFF"/>
            <w:tcMar>
              <w:top w:w="80" w:type="dxa"/>
              <w:left w:w="120" w:type="dxa"/>
              <w:bottom w:w="80" w:type="dxa"/>
              <w:right w:w="120" w:type="dxa"/>
            </w:tcMar>
          </w:tcPr>
          <w:p w14:paraId="12F114FD" w14:textId="77777777" w:rsidR="00AB52CF" w:rsidRDefault="00000000">
            <w:pPr>
              <w:jc w:val="center"/>
            </w:pPr>
            <w:r>
              <w:rPr>
                <w:sz w:val="20"/>
                <w:szCs w:val="20"/>
              </w:rPr>
              <w:t>0 – 2,847</w:t>
            </w:r>
          </w:p>
        </w:tc>
      </w:tr>
      <w:tr w:rsidR="00AB52CF" w14:paraId="19ABAF9F" w14:textId="77777777">
        <w:tblPrEx>
          <w:tblCellMar>
            <w:top w:w="0" w:type="dxa"/>
            <w:bottom w:w="0" w:type="dxa"/>
          </w:tblCellMar>
        </w:tblPrEx>
        <w:tc>
          <w:tcPr>
            <w:tcW w:w="2400" w:type="dxa"/>
            <w:tcBorders>
              <w:top w:val="single" w:sz="1" w:space="0" w:color="CBD5E0"/>
              <w:left w:val="single" w:sz="1" w:space="0" w:color="CBD5E0"/>
              <w:bottom w:val="single" w:sz="1" w:space="0" w:color="CBD5E0"/>
              <w:right w:val="single" w:sz="1" w:space="0" w:color="CBD5E0"/>
            </w:tcBorders>
            <w:shd w:val="clear" w:color="auto" w:fill="F7FAFC"/>
            <w:tcMar>
              <w:top w:w="80" w:type="dxa"/>
              <w:left w:w="120" w:type="dxa"/>
              <w:bottom w:w="80" w:type="dxa"/>
              <w:right w:w="120" w:type="dxa"/>
            </w:tcMar>
          </w:tcPr>
          <w:p w14:paraId="46AB66B5" w14:textId="77777777" w:rsidR="00AB52CF" w:rsidRDefault="00000000">
            <w:proofErr w:type="spellStart"/>
            <w:r>
              <w:rPr>
                <w:color w:val="0D1F3C"/>
                <w:sz w:val="20"/>
                <w:szCs w:val="20"/>
              </w:rPr>
              <w:t>cbp_transferred</w:t>
            </w:r>
            <w:proofErr w:type="spellEnd"/>
          </w:p>
        </w:tc>
        <w:tc>
          <w:tcPr>
            <w:tcW w:w="3600" w:type="dxa"/>
            <w:tcBorders>
              <w:top w:val="single" w:sz="1" w:space="0" w:color="CBD5E0"/>
              <w:left w:val="single" w:sz="1" w:space="0" w:color="CBD5E0"/>
              <w:bottom w:val="single" w:sz="1" w:space="0" w:color="CBD5E0"/>
              <w:right w:val="single" w:sz="1" w:space="0" w:color="CBD5E0"/>
            </w:tcBorders>
            <w:shd w:val="clear" w:color="auto" w:fill="F7FAFC"/>
            <w:tcMar>
              <w:top w:w="80" w:type="dxa"/>
              <w:left w:w="120" w:type="dxa"/>
              <w:bottom w:w="80" w:type="dxa"/>
              <w:right w:w="120" w:type="dxa"/>
            </w:tcMar>
          </w:tcPr>
          <w:p w14:paraId="388FFC5B" w14:textId="77777777" w:rsidR="00AB52CF" w:rsidRDefault="00000000">
            <w:pPr>
              <w:jc w:val="center"/>
            </w:pPr>
            <w:r>
              <w:rPr>
                <w:sz w:val="20"/>
                <w:szCs w:val="20"/>
              </w:rPr>
              <w:t>Children transferred CBP → HHS</w:t>
            </w:r>
          </w:p>
        </w:tc>
        <w:tc>
          <w:tcPr>
            <w:tcW w:w="3360" w:type="dxa"/>
            <w:tcBorders>
              <w:top w:val="single" w:sz="1" w:space="0" w:color="CBD5E0"/>
              <w:left w:val="single" w:sz="1" w:space="0" w:color="CBD5E0"/>
              <w:bottom w:val="single" w:sz="1" w:space="0" w:color="CBD5E0"/>
              <w:right w:val="single" w:sz="1" w:space="0" w:color="CBD5E0"/>
            </w:tcBorders>
            <w:shd w:val="clear" w:color="auto" w:fill="F7FAFC"/>
            <w:tcMar>
              <w:top w:w="80" w:type="dxa"/>
              <w:left w:w="120" w:type="dxa"/>
              <w:bottom w:w="80" w:type="dxa"/>
              <w:right w:w="120" w:type="dxa"/>
            </w:tcMar>
          </w:tcPr>
          <w:p w14:paraId="06D0F74B" w14:textId="77777777" w:rsidR="00AB52CF" w:rsidRDefault="00000000">
            <w:pPr>
              <w:jc w:val="center"/>
            </w:pPr>
            <w:r>
              <w:rPr>
                <w:sz w:val="20"/>
                <w:szCs w:val="20"/>
              </w:rPr>
              <w:t>0 – 481 / day</w:t>
            </w:r>
          </w:p>
        </w:tc>
      </w:tr>
      <w:tr w:rsidR="00AB52CF" w14:paraId="2BDEAEEC" w14:textId="77777777">
        <w:tblPrEx>
          <w:tblCellMar>
            <w:top w:w="0" w:type="dxa"/>
            <w:bottom w:w="0" w:type="dxa"/>
          </w:tblCellMar>
        </w:tblPrEx>
        <w:tc>
          <w:tcPr>
            <w:tcW w:w="2400" w:type="dxa"/>
            <w:tcBorders>
              <w:top w:val="single" w:sz="1" w:space="0" w:color="CBD5E0"/>
              <w:left w:val="single" w:sz="1" w:space="0" w:color="CBD5E0"/>
              <w:bottom w:val="single" w:sz="1" w:space="0" w:color="CBD5E0"/>
              <w:right w:val="single" w:sz="1" w:space="0" w:color="CBD5E0"/>
            </w:tcBorders>
            <w:shd w:val="clear" w:color="auto" w:fill="FFFFFF"/>
            <w:tcMar>
              <w:top w:w="80" w:type="dxa"/>
              <w:left w:w="120" w:type="dxa"/>
              <w:bottom w:w="80" w:type="dxa"/>
              <w:right w:w="120" w:type="dxa"/>
            </w:tcMar>
          </w:tcPr>
          <w:p w14:paraId="6A7D2327" w14:textId="77777777" w:rsidR="00AB52CF" w:rsidRDefault="00000000">
            <w:proofErr w:type="spellStart"/>
            <w:r>
              <w:rPr>
                <w:color w:val="0D1F3C"/>
                <w:sz w:val="20"/>
                <w:szCs w:val="20"/>
              </w:rPr>
              <w:t>hhs_care</w:t>
            </w:r>
            <w:proofErr w:type="spellEnd"/>
          </w:p>
        </w:tc>
        <w:tc>
          <w:tcPr>
            <w:tcW w:w="3600" w:type="dxa"/>
            <w:tcBorders>
              <w:top w:val="single" w:sz="1" w:space="0" w:color="CBD5E0"/>
              <w:left w:val="single" w:sz="1" w:space="0" w:color="CBD5E0"/>
              <w:bottom w:val="single" w:sz="1" w:space="0" w:color="CBD5E0"/>
              <w:right w:val="single" w:sz="1" w:space="0" w:color="CBD5E0"/>
            </w:tcBorders>
            <w:shd w:val="clear" w:color="auto" w:fill="FFFFFF"/>
            <w:tcMar>
              <w:top w:w="80" w:type="dxa"/>
              <w:left w:w="120" w:type="dxa"/>
              <w:bottom w:w="80" w:type="dxa"/>
              <w:right w:w="120" w:type="dxa"/>
            </w:tcMar>
          </w:tcPr>
          <w:p w14:paraId="5DBA7871" w14:textId="77777777" w:rsidR="00AB52CF" w:rsidRDefault="00000000">
            <w:pPr>
              <w:jc w:val="center"/>
            </w:pPr>
            <w:r>
              <w:rPr>
                <w:sz w:val="20"/>
                <w:szCs w:val="20"/>
              </w:rPr>
              <w:t>Children in HHS care (TARGET 1)</w:t>
            </w:r>
          </w:p>
        </w:tc>
        <w:tc>
          <w:tcPr>
            <w:tcW w:w="3360" w:type="dxa"/>
            <w:tcBorders>
              <w:top w:val="single" w:sz="1" w:space="0" w:color="CBD5E0"/>
              <w:left w:val="single" w:sz="1" w:space="0" w:color="CBD5E0"/>
              <w:bottom w:val="single" w:sz="1" w:space="0" w:color="CBD5E0"/>
              <w:right w:val="single" w:sz="1" w:space="0" w:color="CBD5E0"/>
            </w:tcBorders>
            <w:shd w:val="clear" w:color="auto" w:fill="FFFFFF"/>
            <w:tcMar>
              <w:top w:w="80" w:type="dxa"/>
              <w:left w:w="120" w:type="dxa"/>
              <w:bottom w:w="80" w:type="dxa"/>
              <w:right w:w="120" w:type="dxa"/>
            </w:tcMar>
          </w:tcPr>
          <w:p w14:paraId="55AB68C2" w14:textId="77777777" w:rsidR="00AB52CF" w:rsidRDefault="00000000">
            <w:pPr>
              <w:jc w:val="center"/>
            </w:pPr>
            <w:r>
              <w:rPr>
                <w:sz w:val="20"/>
                <w:szCs w:val="20"/>
              </w:rPr>
              <w:t>1,972 – 11,516</w:t>
            </w:r>
          </w:p>
        </w:tc>
      </w:tr>
      <w:tr w:rsidR="00AB52CF" w14:paraId="79158942" w14:textId="77777777">
        <w:tblPrEx>
          <w:tblCellMar>
            <w:top w:w="0" w:type="dxa"/>
            <w:bottom w:w="0" w:type="dxa"/>
          </w:tblCellMar>
        </w:tblPrEx>
        <w:tc>
          <w:tcPr>
            <w:tcW w:w="2400" w:type="dxa"/>
            <w:tcBorders>
              <w:top w:val="single" w:sz="1" w:space="0" w:color="CBD5E0"/>
              <w:left w:val="single" w:sz="1" w:space="0" w:color="CBD5E0"/>
              <w:bottom w:val="single" w:sz="1" w:space="0" w:color="CBD5E0"/>
              <w:right w:val="single" w:sz="1" w:space="0" w:color="CBD5E0"/>
            </w:tcBorders>
            <w:shd w:val="clear" w:color="auto" w:fill="F7FAFC"/>
            <w:tcMar>
              <w:top w:w="80" w:type="dxa"/>
              <w:left w:w="120" w:type="dxa"/>
              <w:bottom w:w="80" w:type="dxa"/>
              <w:right w:w="120" w:type="dxa"/>
            </w:tcMar>
          </w:tcPr>
          <w:p w14:paraId="18E96269" w14:textId="77777777" w:rsidR="00AB52CF" w:rsidRDefault="00000000">
            <w:proofErr w:type="spellStart"/>
            <w:r>
              <w:rPr>
                <w:color w:val="0D1F3C"/>
                <w:sz w:val="20"/>
                <w:szCs w:val="20"/>
              </w:rPr>
              <w:t>hhs_discharged</w:t>
            </w:r>
            <w:proofErr w:type="spellEnd"/>
          </w:p>
        </w:tc>
        <w:tc>
          <w:tcPr>
            <w:tcW w:w="3600" w:type="dxa"/>
            <w:tcBorders>
              <w:top w:val="single" w:sz="1" w:space="0" w:color="CBD5E0"/>
              <w:left w:val="single" w:sz="1" w:space="0" w:color="CBD5E0"/>
              <w:bottom w:val="single" w:sz="1" w:space="0" w:color="CBD5E0"/>
              <w:right w:val="single" w:sz="1" w:space="0" w:color="CBD5E0"/>
            </w:tcBorders>
            <w:shd w:val="clear" w:color="auto" w:fill="F7FAFC"/>
            <w:tcMar>
              <w:top w:w="80" w:type="dxa"/>
              <w:left w:w="120" w:type="dxa"/>
              <w:bottom w:w="80" w:type="dxa"/>
              <w:right w:w="120" w:type="dxa"/>
            </w:tcMar>
          </w:tcPr>
          <w:p w14:paraId="4C712558" w14:textId="77777777" w:rsidR="00AB52CF" w:rsidRDefault="00000000">
            <w:pPr>
              <w:jc w:val="center"/>
            </w:pPr>
            <w:r>
              <w:rPr>
                <w:sz w:val="20"/>
                <w:szCs w:val="20"/>
              </w:rPr>
              <w:t>Children discharged from HHS (TARGET 2)</w:t>
            </w:r>
          </w:p>
        </w:tc>
        <w:tc>
          <w:tcPr>
            <w:tcW w:w="3360" w:type="dxa"/>
            <w:tcBorders>
              <w:top w:val="single" w:sz="1" w:space="0" w:color="CBD5E0"/>
              <w:left w:val="single" w:sz="1" w:space="0" w:color="CBD5E0"/>
              <w:bottom w:val="single" w:sz="1" w:space="0" w:color="CBD5E0"/>
              <w:right w:val="single" w:sz="1" w:space="0" w:color="CBD5E0"/>
            </w:tcBorders>
            <w:shd w:val="clear" w:color="auto" w:fill="F7FAFC"/>
            <w:tcMar>
              <w:top w:w="80" w:type="dxa"/>
              <w:left w:w="120" w:type="dxa"/>
              <w:bottom w:w="80" w:type="dxa"/>
              <w:right w:w="120" w:type="dxa"/>
            </w:tcMar>
          </w:tcPr>
          <w:p w14:paraId="2BB27A96" w14:textId="77777777" w:rsidR="00AB52CF" w:rsidRDefault="00000000">
            <w:pPr>
              <w:jc w:val="center"/>
            </w:pPr>
            <w:r>
              <w:rPr>
                <w:sz w:val="20"/>
                <w:szCs w:val="20"/>
              </w:rPr>
              <w:t>0 – 467 / day</w:t>
            </w:r>
          </w:p>
        </w:tc>
      </w:tr>
    </w:tbl>
    <w:p w14:paraId="4A3F8EBB" w14:textId="77777777" w:rsidR="00AB52CF" w:rsidRDefault="00AB52CF">
      <w:pPr>
        <w:spacing w:before="40" w:after="40"/>
      </w:pPr>
    </w:p>
    <w:p w14:paraId="03536930" w14:textId="77777777" w:rsidR="00AB52CF" w:rsidRDefault="00000000">
      <w:pPr>
        <w:spacing w:before="60" w:after="120"/>
        <w:jc w:val="center"/>
      </w:pPr>
      <w:r>
        <w:rPr>
          <w:i/>
          <w:iCs/>
          <w:color w:val="718096"/>
          <w:sz w:val="18"/>
          <w:szCs w:val="18"/>
        </w:rPr>
        <w:t>Table 1: Dataset columns and value ranges</w:t>
      </w:r>
    </w:p>
    <w:p w14:paraId="31F71454" w14:textId="77777777" w:rsidR="00AB52CF" w:rsidRDefault="00000000">
      <w:pPr>
        <w:pStyle w:val="Heading2"/>
        <w:pBdr>
          <w:bottom w:val="single" w:sz="2" w:space="0" w:color="0A7B6C"/>
        </w:pBdr>
      </w:pPr>
      <w:proofErr w:type="gramStart"/>
      <w:r>
        <w:t>2.2  Data</w:t>
      </w:r>
      <w:proofErr w:type="gramEnd"/>
      <w:r>
        <w:t xml:space="preserve"> Preprocessing</w:t>
      </w:r>
    </w:p>
    <w:p w14:paraId="6ED3B5B4" w14:textId="77777777" w:rsidR="00AB52CF" w:rsidRDefault="00000000">
      <w:pPr>
        <w:spacing w:before="80" w:after="80"/>
      </w:pPr>
      <w:r>
        <w:t>The raw dataset contained only business-day records, leaving 355 weekend and holiday dates missing. To create a continuous daily time series suitable for lag-based feature engineering, missing dates were filled via linear interpolation. This expanded the dataset from 720 to 1,075 rows without introducing artificial discontinuities.</w:t>
      </w:r>
    </w:p>
    <w:p w14:paraId="4AEEAD68" w14:textId="77777777" w:rsidR="00AB52CF" w:rsidRDefault="00000000">
      <w:pPr>
        <w:spacing w:before="80" w:after="80"/>
      </w:pPr>
      <w:r>
        <w:t>Additional preprocessing steps included:</w:t>
      </w:r>
    </w:p>
    <w:p w14:paraId="417F41BA" w14:textId="77777777" w:rsidR="00AB52CF" w:rsidRDefault="00000000">
      <w:pPr>
        <w:pStyle w:val="ListParagraph"/>
        <w:numPr>
          <w:ilvl w:val="0"/>
          <w:numId w:val="2"/>
        </w:numPr>
        <w:spacing w:before="60" w:after="60"/>
      </w:pPr>
      <w:r>
        <w:rPr>
          <w:b/>
          <w:bCs/>
        </w:rPr>
        <w:t xml:space="preserve">Outlier capping: </w:t>
      </w:r>
      <w:r>
        <w:t xml:space="preserve">IQR-based capping (1.5× IQR) applied to </w:t>
      </w:r>
      <w:proofErr w:type="spellStart"/>
      <w:r>
        <w:t>cbp_apprehended</w:t>
      </w:r>
      <w:proofErr w:type="spellEnd"/>
      <w:r>
        <w:t xml:space="preserve"> and </w:t>
      </w:r>
      <w:proofErr w:type="spellStart"/>
      <w:r>
        <w:t>cbp_custody</w:t>
      </w:r>
      <w:proofErr w:type="spellEnd"/>
      <w:r>
        <w:t xml:space="preserve"> to suppress extreme outliers without data removal.</w:t>
      </w:r>
    </w:p>
    <w:p w14:paraId="4A095955" w14:textId="77777777" w:rsidR="00AB52CF" w:rsidRDefault="00000000">
      <w:pPr>
        <w:pStyle w:val="ListParagraph"/>
        <w:numPr>
          <w:ilvl w:val="0"/>
          <w:numId w:val="2"/>
        </w:numPr>
        <w:spacing w:before="60" w:after="60"/>
      </w:pPr>
      <w:r>
        <w:rPr>
          <w:b/>
          <w:bCs/>
        </w:rPr>
        <w:t xml:space="preserve">Type conversion: </w:t>
      </w:r>
      <w:r>
        <w:t xml:space="preserve">Comma-formatted strings in </w:t>
      </w:r>
      <w:proofErr w:type="spellStart"/>
      <w:r>
        <w:t>hhs_care</w:t>
      </w:r>
      <w:proofErr w:type="spellEnd"/>
      <w:r>
        <w:t xml:space="preserve"> converted to integers.</w:t>
      </w:r>
    </w:p>
    <w:p w14:paraId="63B4E6C5" w14:textId="77777777" w:rsidR="00AB52CF" w:rsidRDefault="00000000">
      <w:pPr>
        <w:pStyle w:val="ListParagraph"/>
        <w:numPr>
          <w:ilvl w:val="0"/>
          <w:numId w:val="2"/>
        </w:numPr>
        <w:spacing w:before="60" w:after="60"/>
      </w:pPr>
      <w:r>
        <w:rPr>
          <w:b/>
          <w:bCs/>
        </w:rPr>
        <w:t xml:space="preserve">Chronological sorting: </w:t>
      </w:r>
      <w:r>
        <w:t>Data sorted ascending by date for correct lag computation.</w:t>
      </w:r>
    </w:p>
    <w:p w14:paraId="2E060C0D" w14:textId="77777777" w:rsidR="00AB52CF" w:rsidRDefault="00000000">
      <w:pPr>
        <w:pStyle w:val="Heading2"/>
        <w:pBdr>
          <w:bottom w:val="single" w:sz="2" w:space="0" w:color="0A7B6C"/>
        </w:pBdr>
      </w:pPr>
      <w:proofErr w:type="gramStart"/>
      <w:r>
        <w:t>2.3  Exploratory</w:t>
      </w:r>
      <w:proofErr w:type="gramEnd"/>
      <w:r>
        <w:t xml:space="preserve"> Data Analysis</w:t>
      </w:r>
    </w:p>
    <w:p w14:paraId="39092B8F" w14:textId="77777777" w:rsidR="00AB52CF" w:rsidRDefault="00000000">
      <w:pPr>
        <w:spacing w:before="80" w:after="80"/>
      </w:pPr>
      <w:r>
        <w:t xml:space="preserve">The key EDA finding was a lag-1 autocorrelation of 0.99 for </w:t>
      </w:r>
      <w:proofErr w:type="spellStart"/>
      <w:r>
        <w:t>hhs_care</w:t>
      </w:r>
      <w:proofErr w:type="spellEnd"/>
      <w:r>
        <w:t xml:space="preserve"> — the highest possible value short of a perfect random walk. This single number immediately established that yesterday's care load is an almost perfect predictor of today's, setting a very challenging naïve baseline that sophisticated models would need to beat.</w:t>
      </w:r>
    </w:p>
    <w:p w14:paraId="2FD8E8D0" w14:textId="77777777" w:rsidR="00AB52CF" w:rsidRDefault="00000000">
      <w:pPr>
        <w:spacing w:before="80" w:after="80"/>
      </w:pPr>
      <w:r>
        <w:t xml:space="preserve">Seasonal decomposition confirmed no meaningful seasonal pattern in the post-break period, ruling out SARIMA-class models. The </w:t>
      </w:r>
      <w:proofErr w:type="spellStart"/>
      <w:r>
        <w:t>cbp_transferred</w:t>
      </w:r>
      <w:proofErr w:type="spellEnd"/>
      <w:r>
        <w:t xml:space="preserve"> column showed a Pearson correlation of 0.61 with </w:t>
      </w:r>
      <w:proofErr w:type="gramStart"/>
      <w:r>
        <w:t>next-day</w:t>
      </w:r>
      <w:proofErr w:type="gramEnd"/>
      <w:r>
        <w:t xml:space="preserve"> </w:t>
      </w:r>
      <w:proofErr w:type="spellStart"/>
      <w:r>
        <w:t>hhs_care</w:t>
      </w:r>
      <w:proofErr w:type="spellEnd"/>
      <w:r>
        <w:t>, confirming its value as a leading pipeline indicator.</w:t>
      </w:r>
    </w:p>
    <w:p w14:paraId="2F684190" w14:textId="77777777" w:rsidR="00AB52CF" w:rsidRDefault="00000000">
      <w:r>
        <w:br w:type="page"/>
      </w:r>
    </w:p>
    <w:p w14:paraId="4DA80E86" w14:textId="77777777" w:rsidR="00AB52CF" w:rsidRDefault="00000000">
      <w:pPr>
        <w:pStyle w:val="Heading1"/>
      </w:pPr>
      <w:r>
        <w:lastRenderedPageBreak/>
        <w:t>3. The January 2025 Structural Break</w:t>
      </w:r>
    </w:p>
    <w:p w14:paraId="43420305" w14:textId="77777777" w:rsidR="00AB52CF" w:rsidRDefault="00000000">
      <w:pPr>
        <w:spacing w:before="80" w:after="80"/>
      </w:pPr>
      <w:r>
        <w:t>The single most consequential discovery in this project was not a model result — it was a structural break in the data. In January 2025, HHS care load dropped from approximately 6,500 children to approximately 2,200 children in under two weeks — a reduction of 66%. This level shift persisted through the entire remainder of the dataset.</w:t>
      </w:r>
    </w:p>
    <w:p w14:paraId="567AB693" w14:textId="77777777" w:rsidR="00AB52CF" w:rsidRDefault="00AB52CF">
      <w:pPr>
        <w:spacing w:before="40"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AB52CF" w14:paraId="6DA7F624" w14:textId="77777777">
        <w:tblPrEx>
          <w:tblCellMar>
            <w:top w:w="0" w:type="dxa"/>
            <w:bottom w:w="0" w:type="dxa"/>
          </w:tblCellMar>
        </w:tblPrEx>
        <w:tc>
          <w:tcPr>
            <w:tcW w:w="9360" w:type="dxa"/>
            <w:tcBorders>
              <w:top w:val="single" w:sz="6" w:space="0" w:color="0A7B6C"/>
              <w:left w:val="thick" w:sz="12" w:space="0" w:color="0A7B6C"/>
              <w:bottom w:val="none" w:sz="0" w:space="0" w:color="FFFFFF"/>
              <w:right w:val="none" w:sz="0" w:space="0" w:color="FFFFFF"/>
            </w:tcBorders>
            <w:shd w:val="clear" w:color="auto" w:fill="FFF3CD"/>
            <w:tcMar>
              <w:top w:w="120" w:type="dxa"/>
              <w:left w:w="200" w:type="dxa"/>
              <w:bottom w:w="120" w:type="dxa"/>
              <w:right w:w="120" w:type="dxa"/>
            </w:tcMar>
          </w:tcPr>
          <w:p w14:paraId="3CBB047D" w14:textId="77777777" w:rsidR="00AB52CF" w:rsidRDefault="00000000">
            <w:r>
              <w:rPr>
                <w:i/>
                <w:iCs/>
                <w:color w:val="2D3748"/>
              </w:rPr>
              <w:t>A structural break is a permanent, abrupt change in the statistical properties of a time series. Unlike a trend or seasonal pattern, it cannot be modelled with standard time-series techniques — the series before and after the break are effectively two different processes.</w:t>
            </w:r>
          </w:p>
        </w:tc>
      </w:tr>
    </w:tbl>
    <w:p w14:paraId="5F9AAEE6" w14:textId="77777777" w:rsidR="00AB52CF" w:rsidRDefault="00AB52CF">
      <w:pPr>
        <w:spacing w:before="40" w:after="40"/>
      </w:pPr>
    </w:p>
    <w:p w14:paraId="4C349614" w14:textId="77777777" w:rsidR="00AB52CF" w:rsidRDefault="00000000">
      <w:pPr>
        <w:spacing w:before="80" w:after="80"/>
      </w:pPr>
      <w:r>
        <w:t>The break is most likely attributable to a policy-level intervention, though the specific cause is outside the scope of this analysis. What matters for forecasting is its effect: any model trained on pre-break data learns patterns centred around a mean of ~6,061. When tested on post-break data with a mean of ~2,300, those models produce errors in the thousands — far worse than simply predicting yesterday's value every day.</w:t>
      </w:r>
    </w:p>
    <w:p w14:paraId="186E6605" w14:textId="77777777" w:rsidR="00AB52CF" w:rsidRDefault="00000000">
      <w:pPr>
        <w:pStyle w:val="Heading2"/>
        <w:pBdr>
          <w:bottom w:val="single" w:sz="2" w:space="0" w:color="0A7B6C"/>
        </w:pBdr>
      </w:pPr>
      <w:proofErr w:type="gramStart"/>
      <w:r>
        <w:t>3.1  Impact</w:t>
      </w:r>
      <w:proofErr w:type="gramEnd"/>
      <w:r>
        <w:t xml:space="preserve"> on Model Classes</w:t>
      </w:r>
    </w:p>
    <w:p w14:paraId="5E4C7EBE" w14:textId="77777777" w:rsidR="00AB52CF" w:rsidRDefault="00AB52CF">
      <w:pPr>
        <w:spacing w:before="40"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1500"/>
        <w:gridCol w:w="1500"/>
        <w:gridCol w:w="1200"/>
        <w:gridCol w:w="2360"/>
      </w:tblGrid>
      <w:tr w:rsidR="00AB52CF" w14:paraId="218E1352" w14:textId="77777777">
        <w:tblPrEx>
          <w:tblCellMar>
            <w:top w:w="0" w:type="dxa"/>
            <w:bottom w:w="0" w:type="dxa"/>
          </w:tblCellMar>
        </w:tblPrEx>
        <w:trPr>
          <w:tblHeader/>
        </w:trPr>
        <w:tc>
          <w:tcPr>
            <w:tcW w:w="2800" w:type="dxa"/>
            <w:tcBorders>
              <w:top w:val="single" w:sz="1" w:space="0" w:color="1A2F4E"/>
              <w:left w:val="single" w:sz="1" w:space="0" w:color="1A2F4E"/>
              <w:bottom w:val="single" w:sz="1" w:space="0" w:color="1A2F4E"/>
              <w:right w:val="single" w:sz="1" w:space="0" w:color="1A2F4E"/>
            </w:tcBorders>
            <w:shd w:val="clear" w:color="auto" w:fill="0D1F3C"/>
            <w:tcMar>
              <w:top w:w="100" w:type="dxa"/>
              <w:left w:w="120" w:type="dxa"/>
              <w:bottom w:w="100" w:type="dxa"/>
              <w:right w:w="120" w:type="dxa"/>
            </w:tcMar>
          </w:tcPr>
          <w:p w14:paraId="37A73051" w14:textId="77777777" w:rsidR="00AB52CF" w:rsidRDefault="00000000">
            <w:pPr>
              <w:jc w:val="center"/>
            </w:pPr>
            <w:r>
              <w:rPr>
                <w:b/>
                <w:bCs/>
                <w:color w:val="FFFFFF"/>
                <w:sz w:val="20"/>
                <w:szCs w:val="20"/>
              </w:rPr>
              <w:t>Model Class</w:t>
            </w:r>
          </w:p>
        </w:tc>
        <w:tc>
          <w:tcPr>
            <w:tcW w:w="1500" w:type="dxa"/>
            <w:tcBorders>
              <w:top w:val="single" w:sz="1" w:space="0" w:color="1A2F4E"/>
              <w:left w:val="single" w:sz="1" w:space="0" w:color="1A2F4E"/>
              <w:bottom w:val="single" w:sz="1" w:space="0" w:color="1A2F4E"/>
              <w:right w:val="single" w:sz="1" w:space="0" w:color="1A2F4E"/>
            </w:tcBorders>
            <w:shd w:val="clear" w:color="auto" w:fill="0D1F3C"/>
            <w:tcMar>
              <w:top w:w="100" w:type="dxa"/>
              <w:left w:w="120" w:type="dxa"/>
              <w:bottom w:w="100" w:type="dxa"/>
              <w:right w:w="120" w:type="dxa"/>
            </w:tcMar>
          </w:tcPr>
          <w:p w14:paraId="23F55F7B" w14:textId="77777777" w:rsidR="00AB52CF" w:rsidRDefault="00000000">
            <w:pPr>
              <w:jc w:val="center"/>
            </w:pPr>
            <w:r>
              <w:rPr>
                <w:b/>
                <w:bCs/>
                <w:color w:val="FFFFFF"/>
                <w:sz w:val="20"/>
                <w:szCs w:val="20"/>
              </w:rPr>
              <w:t>Train Mean</w:t>
            </w:r>
          </w:p>
        </w:tc>
        <w:tc>
          <w:tcPr>
            <w:tcW w:w="1500" w:type="dxa"/>
            <w:tcBorders>
              <w:top w:val="single" w:sz="1" w:space="0" w:color="1A2F4E"/>
              <w:left w:val="single" w:sz="1" w:space="0" w:color="1A2F4E"/>
              <w:bottom w:val="single" w:sz="1" w:space="0" w:color="1A2F4E"/>
              <w:right w:val="single" w:sz="1" w:space="0" w:color="1A2F4E"/>
            </w:tcBorders>
            <w:shd w:val="clear" w:color="auto" w:fill="0D1F3C"/>
            <w:tcMar>
              <w:top w:w="100" w:type="dxa"/>
              <w:left w:w="120" w:type="dxa"/>
              <w:bottom w:w="100" w:type="dxa"/>
              <w:right w:w="120" w:type="dxa"/>
            </w:tcMar>
          </w:tcPr>
          <w:p w14:paraId="175CB32C" w14:textId="77777777" w:rsidR="00AB52CF" w:rsidRDefault="00000000">
            <w:pPr>
              <w:jc w:val="center"/>
            </w:pPr>
            <w:r>
              <w:rPr>
                <w:b/>
                <w:bCs/>
                <w:color w:val="FFFFFF"/>
                <w:sz w:val="20"/>
                <w:szCs w:val="20"/>
              </w:rPr>
              <w:t>Test Mean</w:t>
            </w:r>
          </w:p>
        </w:tc>
        <w:tc>
          <w:tcPr>
            <w:tcW w:w="1200" w:type="dxa"/>
            <w:tcBorders>
              <w:top w:val="single" w:sz="1" w:space="0" w:color="1A2F4E"/>
              <w:left w:val="single" w:sz="1" w:space="0" w:color="1A2F4E"/>
              <w:bottom w:val="single" w:sz="1" w:space="0" w:color="1A2F4E"/>
              <w:right w:val="single" w:sz="1" w:space="0" w:color="1A2F4E"/>
            </w:tcBorders>
            <w:shd w:val="clear" w:color="auto" w:fill="0D1F3C"/>
            <w:tcMar>
              <w:top w:w="100" w:type="dxa"/>
              <w:left w:w="120" w:type="dxa"/>
              <w:bottom w:w="100" w:type="dxa"/>
              <w:right w:w="120" w:type="dxa"/>
            </w:tcMar>
          </w:tcPr>
          <w:p w14:paraId="5A526F62" w14:textId="77777777" w:rsidR="00AB52CF" w:rsidRDefault="00000000">
            <w:pPr>
              <w:jc w:val="center"/>
            </w:pPr>
            <w:r>
              <w:rPr>
                <w:b/>
                <w:bCs/>
                <w:color w:val="FFFFFF"/>
                <w:sz w:val="20"/>
                <w:szCs w:val="20"/>
              </w:rPr>
              <w:t>Gap</w:t>
            </w:r>
          </w:p>
        </w:tc>
        <w:tc>
          <w:tcPr>
            <w:tcW w:w="2360" w:type="dxa"/>
            <w:tcBorders>
              <w:top w:val="single" w:sz="1" w:space="0" w:color="1A2F4E"/>
              <w:left w:val="single" w:sz="1" w:space="0" w:color="1A2F4E"/>
              <w:bottom w:val="single" w:sz="1" w:space="0" w:color="1A2F4E"/>
              <w:right w:val="single" w:sz="1" w:space="0" w:color="1A2F4E"/>
            </w:tcBorders>
            <w:shd w:val="clear" w:color="auto" w:fill="0D1F3C"/>
            <w:tcMar>
              <w:top w:w="100" w:type="dxa"/>
              <w:left w:w="120" w:type="dxa"/>
              <w:bottom w:w="100" w:type="dxa"/>
              <w:right w:w="120" w:type="dxa"/>
            </w:tcMar>
          </w:tcPr>
          <w:p w14:paraId="2787D89F" w14:textId="77777777" w:rsidR="00AB52CF" w:rsidRDefault="00000000">
            <w:pPr>
              <w:jc w:val="center"/>
            </w:pPr>
            <w:r>
              <w:rPr>
                <w:b/>
                <w:bCs/>
                <w:color w:val="FFFFFF"/>
                <w:sz w:val="20"/>
                <w:szCs w:val="20"/>
              </w:rPr>
              <w:t>Result</w:t>
            </w:r>
          </w:p>
        </w:tc>
      </w:tr>
      <w:tr w:rsidR="00AB52CF" w14:paraId="627CAE98" w14:textId="77777777">
        <w:tblPrEx>
          <w:tblCellMar>
            <w:top w:w="0" w:type="dxa"/>
            <w:bottom w:w="0" w:type="dxa"/>
          </w:tblCellMar>
        </w:tblPrEx>
        <w:tc>
          <w:tcPr>
            <w:tcW w:w="2800" w:type="dxa"/>
            <w:tcBorders>
              <w:top w:val="single" w:sz="1" w:space="0" w:color="CBD5E0"/>
              <w:left w:val="single" w:sz="1" w:space="0" w:color="CBD5E0"/>
              <w:bottom w:val="single" w:sz="1" w:space="0" w:color="CBD5E0"/>
              <w:right w:val="single" w:sz="1" w:space="0" w:color="CBD5E0"/>
            </w:tcBorders>
            <w:shd w:val="clear" w:color="auto" w:fill="FFFFFF"/>
            <w:tcMar>
              <w:top w:w="80" w:type="dxa"/>
              <w:left w:w="120" w:type="dxa"/>
              <w:bottom w:w="80" w:type="dxa"/>
              <w:right w:w="120" w:type="dxa"/>
            </w:tcMar>
          </w:tcPr>
          <w:p w14:paraId="6287F62C" w14:textId="77777777" w:rsidR="00AB52CF" w:rsidRDefault="00000000">
            <w:r>
              <w:rPr>
                <w:b/>
                <w:bCs/>
                <w:color w:val="0D1F3C"/>
                <w:sz w:val="20"/>
                <w:szCs w:val="20"/>
              </w:rPr>
              <w:t>Statistical (full window)</w:t>
            </w:r>
          </w:p>
        </w:tc>
        <w:tc>
          <w:tcPr>
            <w:tcW w:w="1500" w:type="dxa"/>
            <w:tcBorders>
              <w:top w:val="single" w:sz="1" w:space="0" w:color="CBD5E0"/>
              <w:left w:val="single" w:sz="1" w:space="0" w:color="CBD5E0"/>
              <w:bottom w:val="single" w:sz="1" w:space="0" w:color="CBD5E0"/>
              <w:right w:val="single" w:sz="1" w:space="0" w:color="CBD5E0"/>
            </w:tcBorders>
            <w:shd w:val="clear" w:color="auto" w:fill="E6FFF9"/>
            <w:tcMar>
              <w:top w:w="80" w:type="dxa"/>
              <w:left w:w="120" w:type="dxa"/>
              <w:bottom w:w="80" w:type="dxa"/>
              <w:right w:w="120" w:type="dxa"/>
            </w:tcMar>
          </w:tcPr>
          <w:p w14:paraId="14FBD778" w14:textId="77777777" w:rsidR="00AB52CF" w:rsidRDefault="00000000">
            <w:pPr>
              <w:jc w:val="center"/>
            </w:pPr>
            <w:r>
              <w:rPr>
                <w:b/>
                <w:bCs/>
                <w:color w:val="0A7B6C"/>
                <w:sz w:val="20"/>
                <w:szCs w:val="20"/>
              </w:rPr>
              <w:t>~6,061</w:t>
            </w:r>
          </w:p>
        </w:tc>
        <w:tc>
          <w:tcPr>
            <w:tcW w:w="1500" w:type="dxa"/>
            <w:tcBorders>
              <w:top w:val="single" w:sz="1" w:space="0" w:color="CBD5E0"/>
              <w:left w:val="single" w:sz="1" w:space="0" w:color="CBD5E0"/>
              <w:bottom w:val="single" w:sz="1" w:space="0" w:color="CBD5E0"/>
              <w:right w:val="single" w:sz="1" w:space="0" w:color="CBD5E0"/>
            </w:tcBorders>
            <w:shd w:val="clear" w:color="auto" w:fill="E6FFF9"/>
            <w:tcMar>
              <w:top w:w="80" w:type="dxa"/>
              <w:left w:w="120" w:type="dxa"/>
              <w:bottom w:w="80" w:type="dxa"/>
              <w:right w:w="120" w:type="dxa"/>
            </w:tcMar>
          </w:tcPr>
          <w:p w14:paraId="1C85D623" w14:textId="77777777" w:rsidR="00AB52CF" w:rsidRDefault="00000000">
            <w:pPr>
              <w:jc w:val="center"/>
            </w:pPr>
            <w:r>
              <w:rPr>
                <w:b/>
                <w:bCs/>
                <w:color w:val="0A7B6C"/>
                <w:sz w:val="20"/>
                <w:szCs w:val="20"/>
              </w:rPr>
              <w:t>~2,300</w:t>
            </w:r>
          </w:p>
        </w:tc>
        <w:tc>
          <w:tcPr>
            <w:tcW w:w="1200" w:type="dxa"/>
            <w:tcBorders>
              <w:top w:val="single" w:sz="1" w:space="0" w:color="CBD5E0"/>
              <w:left w:val="single" w:sz="1" w:space="0" w:color="CBD5E0"/>
              <w:bottom w:val="single" w:sz="1" w:space="0" w:color="CBD5E0"/>
              <w:right w:val="single" w:sz="1" w:space="0" w:color="CBD5E0"/>
            </w:tcBorders>
            <w:shd w:val="clear" w:color="auto" w:fill="E6FFF9"/>
            <w:tcMar>
              <w:top w:w="80" w:type="dxa"/>
              <w:left w:w="120" w:type="dxa"/>
              <w:bottom w:w="80" w:type="dxa"/>
              <w:right w:w="120" w:type="dxa"/>
            </w:tcMar>
          </w:tcPr>
          <w:p w14:paraId="5574B163" w14:textId="77777777" w:rsidR="00AB52CF" w:rsidRDefault="00000000">
            <w:pPr>
              <w:jc w:val="center"/>
            </w:pPr>
            <w:r>
              <w:rPr>
                <w:b/>
                <w:bCs/>
                <w:color w:val="0A7B6C"/>
                <w:sz w:val="20"/>
                <w:szCs w:val="20"/>
              </w:rPr>
              <w:t>~3,761</w:t>
            </w:r>
          </w:p>
        </w:tc>
        <w:tc>
          <w:tcPr>
            <w:tcW w:w="2360" w:type="dxa"/>
            <w:tcBorders>
              <w:top w:val="single" w:sz="1" w:space="0" w:color="CBD5E0"/>
              <w:left w:val="single" w:sz="1" w:space="0" w:color="CBD5E0"/>
              <w:bottom w:val="single" w:sz="1" w:space="0" w:color="CBD5E0"/>
              <w:right w:val="single" w:sz="1" w:space="0" w:color="CBD5E0"/>
            </w:tcBorders>
            <w:shd w:val="clear" w:color="auto" w:fill="E6FFF9"/>
            <w:tcMar>
              <w:top w:w="80" w:type="dxa"/>
              <w:left w:w="120" w:type="dxa"/>
              <w:bottom w:w="80" w:type="dxa"/>
              <w:right w:w="120" w:type="dxa"/>
            </w:tcMar>
          </w:tcPr>
          <w:p w14:paraId="78C61766" w14:textId="77777777" w:rsidR="00AB52CF" w:rsidRDefault="00000000">
            <w:pPr>
              <w:jc w:val="center"/>
            </w:pPr>
            <w:r>
              <w:rPr>
                <w:b/>
                <w:bCs/>
                <w:color w:val="0A7B6C"/>
                <w:sz w:val="20"/>
                <w:szCs w:val="20"/>
              </w:rPr>
              <w:t>❌ FAILED — MAE 86–433</w:t>
            </w:r>
          </w:p>
        </w:tc>
      </w:tr>
      <w:tr w:rsidR="00AB52CF" w14:paraId="0D9AF4CE" w14:textId="77777777">
        <w:tblPrEx>
          <w:tblCellMar>
            <w:top w:w="0" w:type="dxa"/>
            <w:bottom w:w="0" w:type="dxa"/>
          </w:tblCellMar>
        </w:tblPrEx>
        <w:tc>
          <w:tcPr>
            <w:tcW w:w="2800" w:type="dxa"/>
            <w:tcBorders>
              <w:top w:val="single" w:sz="1" w:space="0" w:color="CBD5E0"/>
              <w:left w:val="single" w:sz="1" w:space="0" w:color="CBD5E0"/>
              <w:bottom w:val="single" w:sz="1" w:space="0" w:color="CBD5E0"/>
              <w:right w:val="single" w:sz="1" w:space="0" w:color="CBD5E0"/>
            </w:tcBorders>
            <w:shd w:val="clear" w:color="auto" w:fill="F7FAFC"/>
            <w:tcMar>
              <w:top w:w="80" w:type="dxa"/>
              <w:left w:w="120" w:type="dxa"/>
              <w:bottom w:w="80" w:type="dxa"/>
              <w:right w:w="120" w:type="dxa"/>
            </w:tcMar>
          </w:tcPr>
          <w:p w14:paraId="6442F7E0" w14:textId="77777777" w:rsidR="00AB52CF" w:rsidRDefault="00000000">
            <w:r>
              <w:rPr>
                <w:color w:val="0D1F3C"/>
                <w:sz w:val="20"/>
                <w:szCs w:val="20"/>
              </w:rPr>
              <w:t>ML Full Window</w:t>
            </w:r>
          </w:p>
        </w:tc>
        <w:tc>
          <w:tcPr>
            <w:tcW w:w="1500" w:type="dxa"/>
            <w:tcBorders>
              <w:top w:val="single" w:sz="1" w:space="0" w:color="CBD5E0"/>
              <w:left w:val="single" w:sz="1" w:space="0" w:color="CBD5E0"/>
              <w:bottom w:val="single" w:sz="1" w:space="0" w:color="CBD5E0"/>
              <w:right w:val="single" w:sz="1" w:space="0" w:color="CBD5E0"/>
            </w:tcBorders>
            <w:shd w:val="clear" w:color="auto" w:fill="F7FAFC"/>
            <w:tcMar>
              <w:top w:w="80" w:type="dxa"/>
              <w:left w:w="120" w:type="dxa"/>
              <w:bottom w:w="80" w:type="dxa"/>
              <w:right w:w="120" w:type="dxa"/>
            </w:tcMar>
          </w:tcPr>
          <w:p w14:paraId="782C3379" w14:textId="77777777" w:rsidR="00AB52CF" w:rsidRDefault="00000000">
            <w:pPr>
              <w:jc w:val="center"/>
            </w:pPr>
            <w:r>
              <w:rPr>
                <w:sz w:val="20"/>
                <w:szCs w:val="20"/>
              </w:rPr>
              <w:t>~6,061</w:t>
            </w:r>
          </w:p>
        </w:tc>
        <w:tc>
          <w:tcPr>
            <w:tcW w:w="1500" w:type="dxa"/>
            <w:tcBorders>
              <w:top w:val="single" w:sz="1" w:space="0" w:color="CBD5E0"/>
              <w:left w:val="single" w:sz="1" w:space="0" w:color="CBD5E0"/>
              <w:bottom w:val="single" w:sz="1" w:space="0" w:color="CBD5E0"/>
              <w:right w:val="single" w:sz="1" w:space="0" w:color="CBD5E0"/>
            </w:tcBorders>
            <w:shd w:val="clear" w:color="auto" w:fill="F7FAFC"/>
            <w:tcMar>
              <w:top w:w="80" w:type="dxa"/>
              <w:left w:w="120" w:type="dxa"/>
              <w:bottom w:w="80" w:type="dxa"/>
              <w:right w:w="120" w:type="dxa"/>
            </w:tcMar>
          </w:tcPr>
          <w:p w14:paraId="52BFA6C3" w14:textId="77777777" w:rsidR="00AB52CF" w:rsidRDefault="00000000">
            <w:pPr>
              <w:jc w:val="center"/>
            </w:pPr>
            <w:r>
              <w:rPr>
                <w:sz w:val="20"/>
                <w:szCs w:val="20"/>
              </w:rPr>
              <w:t>~2,300</w:t>
            </w:r>
          </w:p>
        </w:tc>
        <w:tc>
          <w:tcPr>
            <w:tcW w:w="1200" w:type="dxa"/>
            <w:tcBorders>
              <w:top w:val="single" w:sz="1" w:space="0" w:color="CBD5E0"/>
              <w:left w:val="single" w:sz="1" w:space="0" w:color="CBD5E0"/>
              <w:bottom w:val="single" w:sz="1" w:space="0" w:color="CBD5E0"/>
              <w:right w:val="single" w:sz="1" w:space="0" w:color="CBD5E0"/>
            </w:tcBorders>
            <w:shd w:val="clear" w:color="auto" w:fill="F7FAFC"/>
            <w:tcMar>
              <w:top w:w="80" w:type="dxa"/>
              <w:left w:w="120" w:type="dxa"/>
              <w:bottom w:w="80" w:type="dxa"/>
              <w:right w:w="120" w:type="dxa"/>
            </w:tcMar>
          </w:tcPr>
          <w:p w14:paraId="1D6D5FC8" w14:textId="77777777" w:rsidR="00AB52CF" w:rsidRDefault="00000000">
            <w:pPr>
              <w:jc w:val="center"/>
            </w:pPr>
            <w:r>
              <w:rPr>
                <w:sz w:val="20"/>
                <w:szCs w:val="20"/>
              </w:rPr>
              <w:t>~3,761</w:t>
            </w:r>
          </w:p>
        </w:tc>
        <w:tc>
          <w:tcPr>
            <w:tcW w:w="2360" w:type="dxa"/>
            <w:tcBorders>
              <w:top w:val="single" w:sz="1" w:space="0" w:color="CBD5E0"/>
              <w:left w:val="single" w:sz="1" w:space="0" w:color="CBD5E0"/>
              <w:bottom w:val="single" w:sz="1" w:space="0" w:color="CBD5E0"/>
              <w:right w:val="single" w:sz="1" w:space="0" w:color="CBD5E0"/>
            </w:tcBorders>
            <w:shd w:val="clear" w:color="auto" w:fill="F7FAFC"/>
            <w:tcMar>
              <w:top w:w="80" w:type="dxa"/>
              <w:left w:w="120" w:type="dxa"/>
              <w:bottom w:w="80" w:type="dxa"/>
              <w:right w:w="120" w:type="dxa"/>
            </w:tcMar>
          </w:tcPr>
          <w:p w14:paraId="08004670" w14:textId="77777777" w:rsidR="00AB52CF" w:rsidRDefault="00000000">
            <w:pPr>
              <w:jc w:val="center"/>
            </w:pPr>
            <w:r>
              <w:rPr>
                <w:sz w:val="20"/>
                <w:szCs w:val="20"/>
              </w:rPr>
              <w:t>❌ FAILED — MAE 23–41</w:t>
            </w:r>
          </w:p>
        </w:tc>
      </w:tr>
      <w:tr w:rsidR="00AB52CF" w14:paraId="438D7C27" w14:textId="77777777">
        <w:tblPrEx>
          <w:tblCellMar>
            <w:top w:w="0" w:type="dxa"/>
            <w:bottom w:w="0" w:type="dxa"/>
          </w:tblCellMar>
        </w:tblPrEx>
        <w:tc>
          <w:tcPr>
            <w:tcW w:w="2800" w:type="dxa"/>
            <w:tcBorders>
              <w:top w:val="single" w:sz="1" w:space="0" w:color="CBD5E0"/>
              <w:left w:val="single" w:sz="1" w:space="0" w:color="CBD5E0"/>
              <w:bottom w:val="single" w:sz="1" w:space="0" w:color="CBD5E0"/>
              <w:right w:val="single" w:sz="1" w:space="0" w:color="CBD5E0"/>
            </w:tcBorders>
            <w:shd w:val="clear" w:color="auto" w:fill="FFFFFF"/>
            <w:tcMar>
              <w:top w:w="80" w:type="dxa"/>
              <w:left w:w="120" w:type="dxa"/>
              <w:bottom w:w="80" w:type="dxa"/>
              <w:right w:w="120" w:type="dxa"/>
            </w:tcMar>
          </w:tcPr>
          <w:p w14:paraId="0CAE4C92" w14:textId="77777777" w:rsidR="00AB52CF" w:rsidRDefault="00000000">
            <w:r>
              <w:rPr>
                <w:color w:val="0D1F3C"/>
                <w:sz w:val="20"/>
                <w:szCs w:val="20"/>
              </w:rPr>
              <w:t>ML Recent Window (Jun 2024+)</w:t>
            </w:r>
          </w:p>
        </w:tc>
        <w:tc>
          <w:tcPr>
            <w:tcW w:w="1500" w:type="dxa"/>
            <w:tcBorders>
              <w:top w:val="single" w:sz="1" w:space="0" w:color="CBD5E0"/>
              <w:left w:val="single" w:sz="1" w:space="0" w:color="CBD5E0"/>
              <w:bottom w:val="single" w:sz="1" w:space="0" w:color="CBD5E0"/>
              <w:right w:val="single" w:sz="1" w:space="0" w:color="CBD5E0"/>
            </w:tcBorders>
            <w:shd w:val="clear" w:color="auto" w:fill="FFFFFF"/>
            <w:tcMar>
              <w:top w:w="80" w:type="dxa"/>
              <w:left w:w="120" w:type="dxa"/>
              <w:bottom w:w="80" w:type="dxa"/>
              <w:right w:w="120" w:type="dxa"/>
            </w:tcMar>
          </w:tcPr>
          <w:p w14:paraId="15BC2654" w14:textId="77777777" w:rsidR="00AB52CF" w:rsidRDefault="00000000">
            <w:pPr>
              <w:jc w:val="center"/>
            </w:pPr>
            <w:r>
              <w:rPr>
                <w:sz w:val="20"/>
                <w:szCs w:val="20"/>
              </w:rPr>
              <w:t>~2,800</w:t>
            </w:r>
          </w:p>
        </w:tc>
        <w:tc>
          <w:tcPr>
            <w:tcW w:w="1500" w:type="dxa"/>
            <w:tcBorders>
              <w:top w:val="single" w:sz="1" w:space="0" w:color="CBD5E0"/>
              <w:left w:val="single" w:sz="1" w:space="0" w:color="CBD5E0"/>
              <w:bottom w:val="single" w:sz="1" w:space="0" w:color="CBD5E0"/>
              <w:right w:val="single" w:sz="1" w:space="0" w:color="CBD5E0"/>
            </w:tcBorders>
            <w:shd w:val="clear" w:color="auto" w:fill="FFFFFF"/>
            <w:tcMar>
              <w:top w:w="80" w:type="dxa"/>
              <w:left w:w="120" w:type="dxa"/>
              <w:bottom w:w="80" w:type="dxa"/>
              <w:right w:w="120" w:type="dxa"/>
            </w:tcMar>
          </w:tcPr>
          <w:p w14:paraId="6E171B36" w14:textId="77777777" w:rsidR="00AB52CF" w:rsidRDefault="00000000">
            <w:pPr>
              <w:jc w:val="center"/>
            </w:pPr>
            <w:r>
              <w:rPr>
                <w:sz w:val="20"/>
                <w:szCs w:val="20"/>
              </w:rPr>
              <w:t>~2,300</w:t>
            </w:r>
          </w:p>
        </w:tc>
        <w:tc>
          <w:tcPr>
            <w:tcW w:w="1200" w:type="dxa"/>
            <w:tcBorders>
              <w:top w:val="single" w:sz="1" w:space="0" w:color="CBD5E0"/>
              <w:left w:val="single" w:sz="1" w:space="0" w:color="CBD5E0"/>
              <w:bottom w:val="single" w:sz="1" w:space="0" w:color="CBD5E0"/>
              <w:right w:val="single" w:sz="1" w:space="0" w:color="CBD5E0"/>
            </w:tcBorders>
            <w:shd w:val="clear" w:color="auto" w:fill="FFFFFF"/>
            <w:tcMar>
              <w:top w:w="80" w:type="dxa"/>
              <w:left w:w="120" w:type="dxa"/>
              <w:bottom w:w="80" w:type="dxa"/>
              <w:right w:w="120" w:type="dxa"/>
            </w:tcMar>
          </w:tcPr>
          <w:p w14:paraId="077BD763" w14:textId="77777777" w:rsidR="00AB52CF" w:rsidRDefault="00000000">
            <w:pPr>
              <w:jc w:val="center"/>
            </w:pPr>
            <w:r>
              <w:rPr>
                <w:sz w:val="20"/>
                <w:szCs w:val="20"/>
              </w:rPr>
              <w:t>~500</w:t>
            </w:r>
          </w:p>
        </w:tc>
        <w:tc>
          <w:tcPr>
            <w:tcW w:w="2360" w:type="dxa"/>
            <w:tcBorders>
              <w:top w:val="single" w:sz="1" w:space="0" w:color="CBD5E0"/>
              <w:left w:val="single" w:sz="1" w:space="0" w:color="CBD5E0"/>
              <w:bottom w:val="single" w:sz="1" w:space="0" w:color="CBD5E0"/>
              <w:right w:val="single" w:sz="1" w:space="0" w:color="CBD5E0"/>
            </w:tcBorders>
            <w:shd w:val="clear" w:color="auto" w:fill="FFFFFF"/>
            <w:tcMar>
              <w:top w:w="80" w:type="dxa"/>
              <w:left w:w="120" w:type="dxa"/>
              <w:bottom w:w="80" w:type="dxa"/>
              <w:right w:w="120" w:type="dxa"/>
            </w:tcMar>
          </w:tcPr>
          <w:p w14:paraId="3502B2AE" w14:textId="77777777" w:rsidR="00AB52CF" w:rsidRDefault="00000000">
            <w:pPr>
              <w:jc w:val="center"/>
            </w:pPr>
            <w:r>
              <w:rPr>
                <w:sz w:val="20"/>
                <w:szCs w:val="20"/>
              </w:rPr>
              <w:t>✅ SOLVED — MAE 5–7</w:t>
            </w:r>
          </w:p>
        </w:tc>
      </w:tr>
    </w:tbl>
    <w:p w14:paraId="25E0ADD3" w14:textId="77777777" w:rsidR="00AB52CF" w:rsidRDefault="00AB52CF">
      <w:pPr>
        <w:spacing w:before="40" w:after="40"/>
      </w:pPr>
    </w:p>
    <w:p w14:paraId="37794055" w14:textId="77777777" w:rsidR="00AB52CF" w:rsidRDefault="00000000">
      <w:pPr>
        <w:spacing w:before="60" w:after="120"/>
        <w:jc w:val="center"/>
      </w:pPr>
      <w:r>
        <w:rPr>
          <w:i/>
          <w:iCs/>
          <w:color w:val="718096"/>
          <w:sz w:val="18"/>
          <w:szCs w:val="18"/>
        </w:rPr>
        <w:t>Table 2: Structural break impact by model class</w:t>
      </w:r>
    </w:p>
    <w:p w14:paraId="41A5DE10" w14:textId="77777777" w:rsidR="00AB52CF" w:rsidRDefault="00000000">
      <w:pPr>
        <w:spacing w:before="80" w:after="80"/>
      </w:pPr>
      <w:r>
        <w:t>The solution was conceptually simple but required recognising the problem first: retrain all models using only post-break data (June 2024 onwards). This reduced the train-test mean gap from ~3,761 to ~500 — small enough that models could generalise effectively.</w:t>
      </w:r>
    </w:p>
    <w:p w14:paraId="1344D5D8" w14:textId="77777777" w:rsidR="00AB52CF" w:rsidRDefault="00000000">
      <w:r>
        <w:br w:type="page"/>
      </w:r>
    </w:p>
    <w:p w14:paraId="52CC84A0" w14:textId="77777777" w:rsidR="00AB52CF" w:rsidRDefault="00000000">
      <w:pPr>
        <w:pStyle w:val="Heading1"/>
      </w:pPr>
      <w:r>
        <w:lastRenderedPageBreak/>
        <w:t>4. Feature Engineering</w:t>
      </w:r>
    </w:p>
    <w:p w14:paraId="0B08E112" w14:textId="77777777" w:rsidR="00AB52CF" w:rsidRDefault="00000000">
      <w:pPr>
        <w:spacing w:before="80" w:after="80"/>
      </w:pPr>
      <w:r>
        <w:t>Feature engineering transformed the cleaned time series into a supervised learning dataset with 30+ predictors. All features were derived exclusively from the five raw columns and the date index — no external data was required.</w:t>
      </w:r>
    </w:p>
    <w:p w14:paraId="6EAF1513" w14:textId="77777777" w:rsidR="00AB52CF" w:rsidRDefault="00000000">
      <w:pPr>
        <w:pStyle w:val="Heading2"/>
        <w:pBdr>
          <w:bottom w:val="single" w:sz="2" w:space="0" w:color="0A7B6C"/>
        </w:pBdr>
      </w:pPr>
      <w:proofErr w:type="gramStart"/>
      <w:r>
        <w:t>4.1  Lag</w:t>
      </w:r>
      <w:proofErr w:type="gramEnd"/>
      <w:r>
        <w:t xml:space="preserve"> Features</w:t>
      </w:r>
    </w:p>
    <w:p w14:paraId="4DC87A2E" w14:textId="77777777" w:rsidR="00AB52CF" w:rsidRDefault="00000000">
      <w:pPr>
        <w:spacing w:before="80" w:after="80"/>
      </w:pPr>
      <w:r>
        <w:t>Autoregressive lag features capture the temporal dependency in the series. Given the 0.99 lag-1 autocorrelation, these are the most powerful predictors in the feature set.</w:t>
      </w:r>
    </w:p>
    <w:p w14:paraId="1F040F5A" w14:textId="77777777" w:rsidR="00AB52CF" w:rsidRDefault="00000000">
      <w:pPr>
        <w:pStyle w:val="ListParagraph"/>
        <w:numPr>
          <w:ilvl w:val="0"/>
          <w:numId w:val="2"/>
        </w:numPr>
        <w:spacing w:before="60" w:after="60"/>
      </w:pPr>
      <w:r>
        <w:t>hhs_care_lag_1, _lag_2, _lag_3, _lag_7, _lag_</w:t>
      </w:r>
      <w:proofErr w:type="gramStart"/>
      <w:r>
        <w:t>14  (</w:t>
      </w:r>
      <w:proofErr w:type="gramEnd"/>
      <w:r>
        <w:t>care load history)</w:t>
      </w:r>
    </w:p>
    <w:p w14:paraId="79CDC4F6" w14:textId="77777777" w:rsidR="00AB52CF" w:rsidRDefault="00000000">
      <w:pPr>
        <w:pStyle w:val="ListParagraph"/>
        <w:numPr>
          <w:ilvl w:val="0"/>
          <w:numId w:val="2"/>
        </w:numPr>
        <w:spacing w:before="60" w:after="60"/>
      </w:pPr>
      <w:r>
        <w:t>cbp_transferred_lag_1, _lag_</w:t>
      </w:r>
      <w:proofErr w:type="gramStart"/>
      <w:r>
        <w:t>7  (</w:t>
      </w:r>
      <w:proofErr w:type="gramEnd"/>
      <w:r>
        <w:t>pipeline leading indicators)</w:t>
      </w:r>
    </w:p>
    <w:p w14:paraId="660A0654" w14:textId="77777777" w:rsidR="00AB52CF" w:rsidRDefault="00000000">
      <w:pPr>
        <w:pStyle w:val="ListParagraph"/>
        <w:numPr>
          <w:ilvl w:val="0"/>
          <w:numId w:val="2"/>
        </w:numPr>
        <w:spacing w:before="60" w:after="60"/>
      </w:pPr>
      <w:r>
        <w:t>hhs_discharged_lag_1, _lag_</w:t>
      </w:r>
      <w:proofErr w:type="gramStart"/>
      <w:r>
        <w:t>7  (</w:t>
      </w:r>
      <w:proofErr w:type="gramEnd"/>
      <w:r>
        <w:t>outflow history)</w:t>
      </w:r>
    </w:p>
    <w:p w14:paraId="29A1B330" w14:textId="77777777" w:rsidR="00AB52CF" w:rsidRDefault="00000000">
      <w:pPr>
        <w:pStyle w:val="ListParagraph"/>
        <w:numPr>
          <w:ilvl w:val="0"/>
          <w:numId w:val="2"/>
        </w:numPr>
        <w:spacing w:before="60" w:after="60"/>
      </w:pPr>
      <w:r>
        <w:t>cbp_apprehended_lag_1, _lag_</w:t>
      </w:r>
      <w:proofErr w:type="gramStart"/>
      <w:r>
        <w:t>7  (</w:t>
      </w:r>
      <w:proofErr w:type="gramEnd"/>
      <w:r>
        <w:t>border activity)</w:t>
      </w:r>
    </w:p>
    <w:p w14:paraId="3B63F6C7" w14:textId="77777777" w:rsidR="00AB52CF" w:rsidRDefault="00000000">
      <w:pPr>
        <w:pStyle w:val="Heading2"/>
        <w:pBdr>
          <w:bottom w:val="single" w:sz="2" w:space="0" w:color="0A7B6C"/>
        </w:pBdr>
      </w:pPr>
      <w:proofErr w:type="gramStart"/>
      <w:r>
        <w:t>4.2  Rolling</w:t>
      </w:r>
      <w:proofErr w:type="gramEnd"/>
      <w:r>
        <w:t xml:space="preserve"> Statistics</w:t>
      </w:r>
    </w:p>
    <w:p w14:paraId="04FF0EEE" w14:textId="77777777" w:rsidR="00AB52CF" w:rsidRDefault="00000000">
      <w:pPr>
        <w:spacing w:before="80" w:after="80"/>
      </w:pPr>
      <w:r>
        <w:t>Rolling window statistics capture trend and volatility information over multiple time horizons.</w:t>
      </w:r>
    </w:p>
    <w:p w14:paraId="47EC83BF" w14:textId="77777777" w:rsidR="00AB52CF" w:rsidRDefault="00000000">
      <w:pPr>
        <w:pStyle w:val="ListParagraph"/>
        <w:numPr>
          <w:ilvl w:val="0"/>
          <w:numId w:val="2"/>
        </w:numPr>
        <w:spacing w:before="60" w:after="60"/>
      </w:pPr>
      <w:r>
        <w:t xml:space="preserve">Rolling means: 7-day, 14-day, 30-day for </w:t>
      </w:r>
      <w:proofErr w:type="spellStart"/>
      <w:r>
        <w:t>hhs_care</w:t>
      </w:r>
      <w:proofErr w:type="spellEnd"/>
    </w:p>
    <w:p w14:paraId="57871492" w14:textId="77777777" w:rsidR="00AB52CF" w:rsidRDefault="00000000">
      <w:pPr>
        <w:pStyle w:val="ListParagraph"/>
        <w:numPr>
          <w:ilvl w:val="0"/>
          <w:numId w:val="2"/>
        </w:numPr>
        <w:spacing w:before="60" w:after="60"/>
      </w:pPr>
      <w:r>
        <w:t>Rolling standard deviations: 7-day, 14-day, 30-day (volatility indicators)</w:t>
      </w:r>
    </w:p>
    <w:p w14:paraId="742D0B3D" w14:textId="77777777" w:rsidR="00AB52CF" w:rsidRDefault="00000000">
      <w:pPr>
        <w:pStyle w:val="ListParagraph"/>
        <w:numPr>
          <w:ilvl w:val="0"/>
          <w:numId w:val="2"/>
        </w:numPr>
        <w:spacing w:before="60" w:after="60"/>
      </w:pPr>
      <w:r>
        <w:t>Rolling min/max: 30-day (range and range position features)</w:t>
      </w:r>
    </w:p>
    <w:p w14:paraId="7F151A11" w14:textId="77777777" w:rsidR="00AB52CF" w:rsidRDefault="00000000">
      <w:pPr>
        <w:pStyle w:val="ListParagraph"/>
        <w:numPr>
          <w:ilvl w:val="0"/>
          <w:numId w:val="2"/>
        </w:numPr>
        <w:spacing w:before="60" w:after="60"/>
      </w:pPr>
      <w:proofErr w:type="spellStart"/>
      <w:r>
        <w:t>hhs_care_range_position</w:t>
      </w:r>
      <w:proofErr w:type="spellEnd"/>
      <w:r>
        <w:t>: (current − min) / (max − min) — normalised position</w:t>
      </w:r>
    </w:p>
    <w:p w14:paraId="67960891" w14:textId="77777777" w:rsidR="00AB52CF" w:rsidRDefault="00000000">
      <w:pPr>
        <w:pStyle w:val="Heading2"/>
        <w:pBdr>
          <w:bottom w:val="single" w:sz="2" w:space="0" w:color="0A7B6C"/>
        </w:pBdr>
      </w:pPr>
      <w:proofErr w:type="gramStart"/>
      <w:r>
        <w:t>4.3  Flow</w:t>
      </w:r>
      <w:proofErr w:type="gramEnd"/>
      <w:r>
        <w:t xml:space="preserve"> &amp; Ratio Features</w:t>
      </w:r>
    </w:p>
    <w:p w14:paraId="01D38F67" w14:textId="77777777" w:rsidR="00AB52CF" w:rsidRDefault="00000000">
      <w:pPr>
        <w:pStyle w:val="ListParagraph"/>
        <w:numPr>
          <w:ilvl w:val="0"/>
          <w:numId w:val="2"/>
        </w:numPr>
        <w:spacing w:before="60" w:after="60"/>
      </w:pPr>
      <w:proofErr w:type="spellStart"/>
      <w:r>
        <w:t>net_flow</w:t>
      </w:r>
      <w:proofErr w:type="spellEnd"/>
      <w:r>
        <w:t xml:space="preserve">: </w:t>
      </w:r>
      <w:proofErr w:type="spellStart"/>
      <w:r>
        <w:t>cbp_transferred</w:t>
      </w:r>
      <w:proofErr w:type="spellEnd"/>
      <w:r>
        <w:t xml:space="preserve"> − </w:t>
      </w:r>
      <w:proofErr w:type="spellStart"/>
      <w:r>
        <w:t>hhs_discharged</w:t>
      </w:r>
      <w:proofErr w:type="spellEnd"/>
      <w:r>
        <w:t xml:space="preserve"> (daily net change pressure)</w:t>
      </w:r>
    </w:p>
    <w:p w14:paraId="2C310509" w14:textId="77777777" w:rsidR="00AB52CF" w:rsidRDefault="00000000">
      <w:pPr>
        <w:pStyle w:val="ListParagraph"/>
        <w:numPr>
          <w:ilvl w:val="0"/>
          <w:numId w:val="2"/>
        </w:numPr>
        <w:spacing w:before="60" w:after="60"/>
      </w:pPr>
      <w:proofErr w:type="spellStart"/>
      <w:r>
        <w:t>intake_ratio</w:t>
      </w:r>
      <w:proofErr w:type="spellEnd"/>
      <w:r>
        <w:t xml:space="preserve">: </w:t>
      </w:r>
      <w:proofErr w:type="spellStart"/>
      <w:r>
        <w:t>cbp_transferred</w:t>
      </w:r>
      <w:proofErr w:type="spellEnd"/>
      <w:r>
        <w:t xml:space="preserve"> / (</w:t>
      </w:r>
      <w:proofErr w:type="spellStart"/>
      <w:r>
        <w:t>hhs_discharged</w:t>
      </w:r>
      <w:proofErr w:type="spellEnd"/>
      <w:r>
        <w:t xml:space="preserve"> + 1) (balance ratio)</w:t>
      </w:r>
    </w:p>
    <w:p w14:paraId="6F9B00F6" w14:textId="77777777" w:rsidR="00AB52CF" w:rsidRDefault="00000000">
      <w:pPr>
        <w:pStyle w:val="ListParagraph"/>
        <w:numPr>
          <w:ilvl w:val="0"/>
          <w:numId w:val="2"/>
        </w:numPr>
        <w:spacing w:before="60" w:after="60"/>
      </w:pPr>
      <w:r>
        <w:t>Rolling 7-day and 14-day versions of both</w:t>
      </w:r>
    </w:p>
    <w:p w14:paraId="2880D448" w14:textId="77777777" w:rsidR="00AB52CF" w:rsidRDefault="00000000">
      <w:pPr>
        <w:pStyle w:val="Heading2"/>
        <w:pBdr>
          <w:bottom w:val="single" w:sz="2" w:space="0" w:color="0A7B6C"/>
        </w:pBdr>
      </w:pPr>
      <w:proofErr w:type="gramStart"/>
      <w:r>
        <w:t>4.4  Calendar</w:t>
      </w:r>
      <w:proofErr w:type="gramEnd"/>
      <w:r>
        <w:t xml:space="preserve"> Features</w:t>
      </w:r>
    </w:p>
    <w:p w14:paraId="715C8BD2" w14:textId="77777777" w:rsidR="00AB52CF" w:rsidRDefault="00000000">
      <w:pPr>
        <w:pStyle w:val="ListParagraph"/>
        <w:numPr>
          <w:ilvl w:val="0"/>
          <w:numId w:val="2"/>
        </w:numPr>
        <w:spacing w:before="60" w:after="60"/>
      </w:pPr>
      <w:r>
        <w:t xml:space="preserve">year, month, quarter, </w:t>
      </w:r>
      <w:proofErr w:type="spellStart"/>
      <w:r>
        <w:t>day_of_week</w:t>
      </w:r>
      <w:proofErr w:type="spellEnd"/>
      <w:r>
        <w:t xml:space="preserve">, </w:t>
      </w:r>
      <w:proofErr w:type="spellStart"/>
      <w:r>
        <w:t>day_of_year</w:t>
      </w:r>
      <w:proofErr w:type="spellEnd"/>
    </w:p>
    <w:p w14:paraId="066CE3F0" w14:textId="77777777" w:rsidR="00AB52CF" w:rsidRDefault="00000000">
      <w:pPr>
        <w:pStyle w:val="ListParagraph"/>
        <w:numPr>
          <w:ilvl w:val="0"/>
          <w:numId w:val="2"/>
        </w:numPr>
        <w:spacing w:before="60" w:after="60"/>
      </w:pPr>
      <w:proofErr w:type="spellStart"/>
      <w:r>
        <w:t>is_weekend</w:t>
      </w:r>
      <w:proofErr w:type="spellEnd"/>
      <w:r>
        <w:t xml:space="preserve">, </w:t>
      </w:r>
      <w:proofErr w:type="spellStart"/>
      <w:r>
        <w:t>is_month_start</w:t>
      </w:r>
      <w:proofErr w:type="spellEnd"/>
      <w:r>
        <w:t xml:space="preserve">, </w:t>
      </w:r>
      <w:proofErr w:type="spellStart"/>
      <w:r>
        <w:t>is_month_end</w:t>
      </w:r>
      <w:proofErr w:type="spellEnd"/>
      <w:r>
        <w:t xml:space="preserve">, </w:t>
      </w:r>
      <w:proofErr w:type="spellStart"/>
      <w:r>
        <w:t>season_encoded</w:t>
      </w:r>
      <w:proofErr w:type="spellEnd"/>
    </w:p>
    <w:p w14:paraId="1A71305A" w14:textId="77777777" w:rsidR="00AB52CF" w:rsidRDefault="00000000">
      <w:pPr>
        <w:pStyle w:val="Heading2"/>
        <w:pBdr>
          <w:bottom w:val="single" w:sz="2" w:space="0" w:color="0A7B6C"/>
        </w:pBdr>
      </w:pPr>
      <w:proofErr w:type="gramStart"/>
      <w:r>
        <w:t>4.5  Feature</w:t>
      </w:r>
      <w:proofErr w:type="gramEnd"/>
      <w:r>
        <w:t xml:space="preserve"> Importance (</w:t>
      </w:r>
      <w:proofErr w:type="spellStart"/>
      <w:r>
        <w:t>XGBoost</w:t>
      </w:r>
      <w:proofErr w:type="spellEnd"/>
      <w:r>
        <w:t>)</w:t>
      </w:r>
    </w:p>
    <w:p w14:paraId="0358AF16" w14:textId="77777777" w:rsidR="00AB52CF" w:rsidRDefault="00000000">
      <w:pPr>
        <w:spacing w:before="80" w:after="80"/>
      </w:pPr>
      <w:r>
        <w:t xml:space="preserve">The trained </w:t>
      </w:r>
      <w:proofErr w:type="spellStart"/>
      <w:r>
        <w:t>XGBoost</w:t>
      </w:r>
      <w:proofErr w:type="spellEnd"/>
      <w:r>
        <w:t xml:space="preserve"> model assigned the following feature importances, which reveal the dominant predictive signals in the post-break regime:</w:t>
      </w:r>
    </w:p>
    <w:p w14:paraId="7C418FEB" w14:textId="77777777" w:rsidR="00AB52CF" w:rsidRDefault="00AB52CF">
      <w:pPr>
        <w:spacing w:before="40"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1400"/>
        <w:gridCol w:w="4960"/>
      </w:tblGrid>
      <w:tr w:rsidR="00AB52CF" w14:paraId="5D716FFD" w14:textId="77777777">
        <w:tblPrEx>
          <w:tblCellMar>
            <w:top w:w="0" w:type="dxa"/>
            <w:bottom w:w="0" w:type="dxa"/>
          </w:tblCellMar>
        </w:tblPrEx>
        <w:trPr>
          <w:tblHeader/>
        </w:trPr>
        <w:tc>
          <w:tcPr>
            <w:tcW w:w="3000" w:type="dxa"/>
            <w:tcBorders>
              <w:top w:val="single" w:sz="1" w:space="0" w:color="1A2F4E"/>
              <w:left w:val="single" w:sz="1" w:space="0" w:color="1A2F4E"/>
              <w:bottom w:val="single" w:sz="1" w:space="0" w:color="1A2F4E"/>
              <w:right w:val="single" w:sz="1" w:space="0" w:color="1A2F4E"/>
            </w:tcBorders>
            <w:shd w:val="clear" w:color="auto" w:fill="0D1F3C"/>
            <w:tcMar>
              <w:top w:w="100" w:type="dxa"/>
              <w:left w:w="120" w:type="dxa"/>
              <w:bottom w:w="100" w:type="dxa"/>
              <w:right w:w="120" w:type="dxa"/>
            </w:tcMar>
          </w:tcPr>
          <w:p w14:paraId="7A3B1BA9" w14:textId="77777777" w:rsidR="00AB52CF" w:rsidRDefault="00000000">
            <w:pPr>
              <w:jc w:val="center"/>
            </w:pPr>
            <w:r>
              <w:rPr>
                <w:b/>
                <w:bCs/>
                <w:color w:val="FFFFFF"/>
                <w:sz w:val="20"/>
                <w:szCs w:val="20"/>
              </w:rPr>
              <w:t>Feature</w:t>
            </w:r>
          </w:p>
        </w:tc>
        <w:tc>
          <w:tcPr>
            <w:tcW w:w="1400" w:type="dxa"/>
            <w:tcBorders>
              <w:top w:val="single" w:sz="1" w:space="0" w:color="1A2F4E"/>
              <w:left w:val="single" w:sz="1" w:space="0" w:color="1A2F4E"/>
              <w:bottom w:val="single" w:sz="1" w:space="0" w:color="1A2F4E"/>
              <w:right w:val="single" w:sz="1" w:space="0" w:color="1A2F4E"/>
            </w:tcBorders>
            <w:shd w:val="clear" w:color="auto" w:fill="0D1F3C"/>
            <w:tcMar>
              <w:top w:w="100" w:type="dxa"/>
              <w:left w:w="120" w:type="dxa"/>
              <w:bottom w:w="100" w:type="dxa"/>
              <w:right w:w="120" w:type="dxa"/>
            </w:tcMar>
          </w:tcPr>
          <w:p w14:paraId="48A114CF" w14:textId="77777777" w:rsidR="00AB52CF" w:rsidRDefault="00000000">
            <w:pPr>
              <w:jc w:val="center"/>
            </w:pPr>
            <w:r>
              <w:rPr>
                <w:b/>
                <w:bCs/>
                <w:color w:val="FFFFFF"/>
                <w:sz w:val="20"/>
                <w:szCs w:val="20"/>
              </w:rPr>
              <w:t>Importance</w:t>
            </w:r>
          </w:p>
        </w:tc>
        <w:tc>
          <w:tcPr>
            <w:tcW w:w="4960" w:type="dxa"/>
            <w:tcBorders>
              <w:top w:val="single" w:sz="1" w:space="0" w:color="1A2F4E"/>
              <w:left w:val="single" w:sz="1" w:space="0" w:color="1A2F4E"/>
              <w:bottom w:val="single" w:sz="1" w:space="0" w:color="1A2F4E"/>
              <w:right w:val="single" w:sz="1" w:space="0" w:color="1A2F4E"/>
            </w:tcBorders>
            <w:shd w:val="clear" w:color="auto" w:fill="0D1F3C"/>
            <w:tcMar>
              <w:top w:w="100" w:type="dxa"/>
              <w:left w:w="120" w:type="dxa"/>
              <w:bottom w:w="100" w:type="dxa"/>
              <w:right w:w="120" w:type="dxa"/>
            </w:tcMar>
          </w:tcPr>
          <w:p w14:paraId="66A8311F" w14:textId="77777777" w:rsidR="00AB52CF" w:rsidRDefault="00000000">
            <w:pPr>
              <w:jc w:val="center"/>
            </w:pPr>
            <w:r>
              <w:rPr>
                <w:b/>
                <w:bCs/>
                <w:color w:val="FFFFFF"/>
                <w:sz w:val="20"/>
                <w:szCs w:val="20"/>
              </w:rPr>
              <w:t>Interpretation</w:t>
            </w:r>
          </w:p>
        </w:tc>
      </w:tr>
      <w:tr w:rsidR="00AB52CF" w14:paraId="66A4DFBF" w14:textId="77777777">
        <w:tblPrEx>
          <w:tblCellMar>
            <w:top w:w="0" w:type="dxa"/>
            <w:bottom w:w="0" w:type="dxa"/>
          </w:tblCellMar>
        </w:tblPrEx>
        <w:tc>
          <w:tcPr>
            <w:tcW w:w="3000" w:type="dxa"/>
            <w:tcBorders>
              <w:top w:val="single" w:sz="1" w:space="0" w:color="CBD5E0"/>
              <w:left w:val="single" w:sz="1" w:space="0" w:color="CBD5E0"/>
              <w:bottom w:val="single" w:sz="1" w:space="0" w:color="CBD5E0"/>
              <w:right w:val="single" w:sz="1" w:space="0" w:color="CBD5E0"/>
            </w:tcBorders>
            <w:shd w:val="clear" w:color="auto" w:fill="FFFFFF"/>
            <w:tcMar>
              <w:top w:w="80" w:type="dxa"/>
              <w:left w:w="120" w:type="dxa"/>
              <w:bottom w:w="80" w:type="dxa"/>
              <w:right w:w="120" w:type="dxa"/>
            </w:tcMar>
          </w:tcPr>
          <w:p w14:paraId="63E2352B" w14:textId="77777777" w:rsidR="00AB52CF" w:rsidRDefault="00000000">
            <w:r>
              <w:rPr>
                <w:b/>
                <w:bCs/>
                <w:color w:val="0D1F3C"/>
                <w:sz w:val="20"/>
                <w:szCs w:val="20"/>
              </w:rPr>
              <w:t>hhs_care_roll_min_30</w:t>
            </w:r>
          </w:p>
        </w:tc>
        <w:tc>
          <w:tcPr>
            <w:tcW w:w="1400" w:type="dxa"/>
            <w:tcBorders>
              <w:top w:val="single" w:sz="1" w:space="0" w:color="CBD5E0"/>
              <w:left w:val="single" w:sz="1" w:space="0" w:color="CBD5E0"/>
              <w:bottom w:val="single" w:sz="1" w:space="0" w:color="CBD5E0"/>
              <w:right w:val="single" w:sz="1" w:space="0" w:color="CBD5E0"/>
            </w:tcBorders>
            <w:shd w:val="clear" w:color="auto" w:fill="E6FFF9"/>
            <w:tcMar>
              <w:top w:w="80" w:type="dxa"/>
              <w:left w:w="120" w:type="dxa"/>
              <w:bottom w:w="80" w:type="dxa"/>
              <w:right w:w="120" w:type="dxa"/>
            </w:tcMar>
          </w:tcPr>
          <w:p w14:paraId="781EA0EA" w14:textId="77777777" w:rsidR="00AB52CF" w:rsidRDefault="00000000">
            <w:pPr>
              <w:jc w:val="center"/>
            </w:pPr>
            <w:r>
              <w:rPr>
                <w:b/>
                <w:bCs/>
                <w:color w:val="0A7B6C"/>
                <w:sz w:val="20"/>
                <w:szCs w:val="20"/>
              </w:rPr>
              <w:t>0.541</w:t>
            </w:r>
          </w:p>
        </w:tc>
        <w:tc>
          <w:tcPr>
            <w:tcW w:w="4960" w:type="dxa"/>
            <w:tcBorders>
              <w:top w:val="single" w:sz="1" w:space="0" w:color="CBD5E0"/>
              <w:left w:val="single" w:sz="1" w:space="0" w:color="CBD5E0"/>
              <w:bottom w:val="single" w:sz="1" w:space="0" w:color="CBD5E0"/>
              <w:right w:val="single" w:sz="1" w:space="0" w:color="CBD5E0"/>
            </w:tcBorders>
            <w:shd w:val="clear" w:color="auto" w:fill="E6FFF9"/>
            <w:tcMar>
              <w:top w:w="80" w:type="dxa"/>
              <w:left w:w="120" w:type="dxa"/>
              <w:bottom w:w="80" w:type="dxa"/>
              <w:right w:w="120" w:type="dxa"/>
            </w:tcMar>
          </w:tcPr>
          <w:p w14:paraId="4A10193C" w14:textId="77777777" w:rsidR="00AB52CF" w:rsidRDefault="00000000">
            <w:pPr>
              <w:jc w:val="center"/>
            </w:pPr>
            <w:r>
              <w:rPr>
                <w:b/>
                <w:bCs/>
                <w:color w:val="0A7B6C"/>
                <w:sz w:val="20"/>
                <w:szCs w:val="20"/>
              </w:rPr>
              <w:t>30-day rolling minimum — anchors model to post-break floor</w:t>
            </w:r>
          </w:p>
        </w:tc>
      </w:tr>
      <w:tr w:rsidR="00AB52CF" w14:paraId="01FE614F" w14:textId="77777777">
        <w:tblPrEx>
          <w:tblCellMar>
            <w:top w:w="0" w:type="dxa"/>
            <w:bottom w:w="0" w:type="dxa"/>
          </w:tblCellMar>
        </w:tblPrEx>
        <w:tc>
          <w:tcPr>
            <w:tcW w:w="3000" w:type="dxa"/>
            <w:tcBorders>
              <w:top w:val="single" w:sz="1" w:space="0" w:color="CBD5E0"/>
              <w:left w:val="single" w:sz="1" w:space="0" w:color="CBD5E0"/>
              <w:bottom w:val="single" w:sz="1" w:space="0" w:color="CBD5E0"/>
              <w:right w:val="single" w:sz="1" w:space="0" w:color="CBD5E0"/>
            </w:tcBorders>
            <w:shd w:val="clear" w:color="auto" w:fill="F7FAFC"/>
            <w:tcMar>
              <w:top w:w="80" w:type="dxa"/>
              <w:left w:w="120" w:type="dxa"/>
              <w:bottom w:w="80" w:type="dxa"/>
              <w:right w:w="120" w:type="dxa"/>
            </w:tcMar>
          </w:tcPr>
          <w:p w14:paraId="5E289121" w14:textId="77777777" w:rsidR="00AB52CF" w:rsidRDefault="00000000">
            <w:r>
              <w:rPr>
                <w:color w:val="0D1F3C"/>
                <w:sz w:val="20"/>
                <w:szCs w:val="20"/>
              </w:rPr>
              <w:t>hhs_care_lag_2</w:t>
            </w:r>
          </w:p>
        </w:tc>
        <w:tc>
          <w:tcPr>
            <w:tcW w:w="1400" w:type="dxa"/>
            <w:tcBorders>
              <w:top w:val="single" w:sz="1" w:space="0" w:color="CBD5E0"/>
              <w:left w:val="single" w:sz="1" w:space="0" w:color="CBD5E0"/>
              <w:bottom w:val="single" w:sz="1" w:space="0" w:color="CBD5E0"/>
              <w:right w:val="single" w:sz="1" w:space="0" w:color="CBD5E0"/>
            </w:tcBorders>
            <w:shd w:val="clear" w:color="auto" w:fill="F7FAFC"/>
            <w:tcMar>
              <w:top w:w="80" w:type="dxa"/>
              <w:left w:w="120" w:type="dxa"/>
              <w:bottom w:w="80" w:type="dxa"/>
              <w:right w:w="120" w:type="dxa"/>
            </w:tcMar>
          </w:tcPr>
          <w:p w14:paraId="55548AA9" w14:textId="77777777" w:rsidR="00AB52CF" w:rsidRDefault="00000000">
            <w:pPr>
              <w:jc w:val="center"/>
            </w:pPr>
            <w:r>
              <w:rPr>
                <w:sz w:val="20"/>
                <w:szCs w:val="20"/>
              </w:rPr>
              <w:t>0.159</w:t>
            </w:r>
          </w:p>
        </w:tc>
        <w:tc>
          <w:tcPr>
            <w:tcW w:w="4960" w:type="dxa"/>
            <w:tcBorders>
              <w:top w:val="single" w:sz="1" w:space="0" w:color="CBD5E0"/>
              <w:left w:val="single" w:sz="1" w:space="0" w:color="CBD5E0"/>
              <w:bottom w:val="single" w:sz="1" w:space="0" w:color="CBD5E0"/>
              <w:right w:val="single" w:sz="1" w:space="0" w:color="CBD5E0"/>
            </w:tcBorders>
            <w:shd w:val="clear" w:color="auto" w:fill="F7FAFC"/>
            <w:tcMar>
              <w:top w:w="80" w:type="dxa"/>
              <w:left w:w="120" w:type="dxa"/>
              <w:bottom w:w="80" w:type="dxa"/>
              <w:right w:w="120" w:type="dxa"/>
            </w:tcMar>
          </w:tcPr>
          <w:p w14:paraId="27584FE9" w14:textId="77777777" w:rsidR="00AB52CF" w:rsidRDefault="00000000">
            <w:pPr>
              <w:jc w:val="center"/>
            </w:pPr>
            <w:r>
              <w:rPr>
                <w:sz w:val="20"/>
                <w:szCs w:val="20"/>
              </w:rPr>
              <w:t>2-day lag — recent autoregressive signal</w:t>
            </w:r>
          </w:p>
        </w:tc>
      </w:tr>
      <w:tr w:rsidR="00AB52CF" w14:paraId="4A203202" w14:textId="77777777">
        <w:tblPrEx>
          <w:tblCellMar>
            <w:top w:w="0" w:type="dxa"/>
            <w:bottom w:w="0" w:type="dxa"/>
          </w:tblCellMar>
        </w:tblPrEx>
        <w:tc>
          <w:tcPr>
            <w:tcW w:w="3000" w:type="dxa"/>
            <w:tcBorders>
              <w:top w:val="single" w:sz="1" w:space="0" w:color="CBD5E0"/>
              <w:left w:val="single" w:sz="1" w:space="0" w:color="CBD5E0"/>
              <w:bottom w:val="single" w:sz="1" w:space="0" w:color="CBD5E0"/>
              <w:right w:val="single" w:sz="1" w:space="0" w:color="CBD5E0"/>
            </w:tcBorders>
            <w:shd w:val="clear" w:color="auto" w:fill="FFFFFF"/>
            <w:tcMar>
              <w:top w:w="80" w:type="dxa"/>
              <w:left w:w="120" w:type="dxa"/>
              <w:bottom w:w="80" w:type="dxa"/>
              <w:right w:w="120" w:type="dxa"/>
            </w:tcMar>
          </w:tcPr>
          <w:p w14:paraId="16E7C801" w14:textId="77777777" w:rsidR="00AB52CF" w:rsidRDefault="00000000">
            <w:r>
              <w:rPr>
                <w:color w:val="0D1F3C"/>
                <w:sz w:val="20"/>
                <w:szCs w:val="20"/>
              </w:rPr>
              <w:t>hhs_care_lag_1</w:t>
            </w:r>
          </w:p>
        </w:tc>
        <w:tc>
          <w:tcPr>
            <w:tcW w:w="1400" w:type="dxa"/>
            <w:tcBorders>
              <w:top w:val="single" w:sz="1" w:space="0" w:color="CBD5E0"/>
              <w:left w:val="single" w:sz="1" w:space="0" w:color="CBD5E0"/>
              <w:bottom w:val="single" w:sz="1" w:space="0" w:color="CBD5E0"/>
              <w:right w:val="single" w:sz="1" w:space="0" w:color="CBD5E0"/>
            </w:tcBorders>
            <w:shd w:val="clear" w:color="auto" w:fill="FFFFFF"/>
            <w:tcMar>
              <w:top w:w="80" w:type="dxa"/>
              <w:left w:w="120" w:type="dxa"/>
              <w:bottom w:w="80" w:type="dxa"/>
              <w:right w:w="120" w:type="dxa"/>
            </w:tcMar>
          </w:tcPr>
          <w:p w14:paraId="54F07999" w14:textId="77777777" w:rsidR="00AB52CF" w:rsidRDefault="00000000">
            <w:pPr>
              <w:jc w:val="center"/>
            </w:pPr>
            <w:r>
              <w:rPr>
                <w:sz w:val="20"/>
                <w:szCs w:val="20"/>
              </w:rPr>
              <w:t>0.150</w:t>
            </w:r>
          </w:p>
        </w:tc>
        <w:tc>
          <w:tcPr>
            <w:tcW w:w="4960" w:type="dxa"/>
            <w:tcBorders>
              <w:top w:val="single" w:sz="1" w:space="0" w:color="CBD5E0"/>
              <w:left w:val="single" w:sz="1" w:space="0" w:color="CBD5E0"/>
              <w:bottom w:val="single" w:sz="1" w:space="0" w:color="CBD5E0"/>
              <w:right w:val="single" w:sz="1" w:space="0" w:color="CBD5E0"/>
            </w:tcBorders>
            <w:shd w:val="clear" w:color="auto" w:fill="FFFFFF"/>
            <w:tcMar>
              <w:top w:w="80" w:type="dxa"/>
              <w:left w:w="120" w:type="dxa"/>
              <w:bottom w:w="80" w:type="dxa"/>
              <w:right w:w="120" w:type="dxa"/>
            </w:tcMar>
          </w:tcPr>
          <w:p w14:paraId="2875CC02" w14:textId="77777777" w:rsidR="00AB52CF" w:rsidRDefault="00000000">
            <w:pPr>
              <w:jc w:val="center"/>
            </w:pPr>
            <w:r>
              <w:rPr>
                <w:sz w:val="20"/>
                <w:szCs w:val="20"/>
              </w:rPr>
              <w:t>Yesterday's value — primary predictor</w:t>
            </w:r>
          </w:p>
        </w:tc>
      </w:tr>
      <w:tr w:rsidR="00AB52CF" w14:paraId="19391188" w14:textId="77777777">
        <w:tblPrEx>
          <w:tblCellMar>
            <w:top w:w="0" w:type="dxa"/>
            <w:bottom w:w="0" w:type="dxa"/>
          </w:tblCellMar>
        </w:tblPrEx>
        <w:tc>
          <w:tcPr>
            <w:tcW w:w="3000" w:type="dxa"/>
            <w:tcBorders>
              <w:top w:val="single" w:sz="1" w:space="0" w:color="CBD5E0"/>
              <w:left w:val="single" w:sz="1" w:space="0" w:color="CBD5E0"/>
              <w:bottom w:val="single" w:sz="1" w:space="0" w:color="CBD5E0"/>
              <w:right w:val="single" w:sz="1" w:space="0" w:color="CBD5E0"/>
            </w:tcBorders>
            <w:shd w:val="clear" w:color="auto" w:fill="F7FAFC"/>
            <w:tcMar>
              <w:top w:w="80" w:type="dxa"/>
              <w:left w:w="120" w:type="dxa"/>
              <w:bottom w:w="80" w:type="dxa"/>
              <w:right w:w="120" w:type="dxa"/>
            </w:tcMar>
          </w:tcPr>
          <w:p w14:paraId="502B42EE" w14:textId="77777777" w:rsidR="00AB52CF" w:rsidRDefault="00000000">
            <w:proofErr w:type="spellStart"/>
            <w:r>
              <w:rPr>
                <w:color w:val="0D1F3C"/>
                <w:sz w:val="20"/>
                <w:szCs w:val="20"/>
              </w:rPr>
              <w:t>cbp_transferred</w:t>
            </w:r>
            <w:proofErr w:type="spellEnd"/>
          </w:p>
        </w:tc>
        <w:tc>
          <w:tcPr>
            <w:tcW w:w="1400" w:type="dxa"/>
            <w:tcBorders>
              <w:top w:val="single" w:sz="1" w:space="0" w:color="CBD5E0"/>
              <w:left w:val="single" w:sz="1" w:space="0" w:color="CBD5E0"/>
              <w:bottom w:val="single" w:sz="1" w:space="0" w:color="CBD5E0"/>
              <w:right w:val="single" w:sz="1" w:space="0" w:color="CBD5E0"/>
            </w:tcBorders>
            <w:shd w:val="clear" w:color="auto" w:fill="F7FAFC"/>
            <w:tcMar>
              <w:top w:w="80" w:type="dxa"/>
              <w:left w:w="120" w:type="dxa"/>
              <w:bottom w:w="80" w:type="dxa"/>
              <w:right w:w="120" w:type="dxa"/>
            </w:tcMar>
          </w:tcPr>
          <w:p w14:paraId="26B373E3" w14:textId="77777777" w:rsidR="00AB52CF" w:rsidRDefault="00000000">
            <w:pPr>
              <w:jc w:val="center"/>
            </w:pPr>
            <w:r>
              <w:rPr>
                <w:sz w:val="20"/>
                <w:szCs w:val="20"/>
              </w:rPr>
              <w:t>0.122</w:t>
            </w:r>
          </w:p>
        </w:tc>
        <w:tc>
          <w:tcPr>
            <w:tcW w:w="4960" w:type="dxa"/>
            <w:tcBorders>
              <w:top w:val="single" w:sz="1" w:space="0" w:color="CBD5E0"/>
              <w:left w:val="single" w:sz="1" w:space="0" w:color="CBD5E0"/>
              <w:bottom w:val="single" w:sz="1" w:space="0" w:color="CBD5E0"/>
              <w:right w:val="single" w:sz="1" w:space="0" w:color="CBD5E0"/>
            </w:tcBorders>
            <w:shd w:val="clear" w:color="auto" w:fill="F7FAFC"/>
            <w:tcMar>
              <w:top w:w="80" w:type="dxa"/>
              <w:left w:w="120" w:type="dxa"/>
              <w:bottom w:w="80" w:type="dxa"/>
              <w:right w:w="120" w:type="dxa"/>
            </w:tcMar>
          </w:tcPr>
          <w:p w14:paraId="4D71939F" w14:textId="77777777" w:rsidR="00AB52CF" w:rsidRDefault="00000000">
            <w:pPr>
              <w:jc w:val="center"/>
            </w:pPr>
            <w:r>
              <w:rPr>
                <w:sz w:val="20"/>
                <w:szCs w:val="20"/>
              </w:rPr>
              <w:t>Today's transfers — leading pipeline indicator</w:t>
            </w:r>
          </w:p>
        </w:tc>
      </w:tr>
      <w:tr w:rsidR="00AB52CF" w14:paraId="6FB5985E" w14:textId="77777777">
        <w:tblPrEx>
          <w:tblCellMar>
            <w:top w:w="0" w:type="dxa"/>
            <w:bottom w:w="0" w:type="dxa"/>
          </w:tblCellMar>
        </w:tblPrEx>
        <w:tc>
          <w:tcPr>
            <w:tcW w:w="3000" w:type="dxa"/>
            <w:tcBorders>
              <w:top w:val="single" w:sz="1" w:space="0" w:color="CBD5E0"/>
              <w:left w:val="single" w:sz="1" w:space="0" w:color="CBD5E0"/>
              <w:bottom w:val="single" w:sz="1" w:space="0" w:color="CBD5E0"/>
              <w:right w:val="single" w:sz="1" w:space="0" w:color="CBD5E0"/>
            </w:tcBorders>
            <w:shd w:val="clear" w:color="auto" w:fill="FFFFFF"/>
            <w:tcMar>
              <w:top w:w="80" w:type="dxa"/>
              <w:left w:w="120" w:type="dxa"/>
              <w:bottom w:w="80" w:type="dxa"/>
              <w:right w:w="120" w:type="dxa"/>
            </w:tcMar>
          </w:tcPr>
          <w:p w14:paraId="3D624EEC" w14:textId="77777777" w:rsidR="00AB52CF" w:rsidRDefault="00000000">
            <w:r>
              <w:rPr>
                <w:color w:val="0D1F3C"/>
                <w:sz w:val="20"/>
                <w:szCs w:val="20"/>
              </w:rPr>
              <w:lastRenderedPageBreak/>
              <w:t>year</w:t>
            </w:r>
          </w:p>
        </w:tc>
        <w:tc>
          <w:tcPr>
            <w:tcW w:w="1400" w:type="dxa"/>
            <w:tcBorders>
              <w:top w:val="single" w:sz="1" w:space="0" w:color="CBD5E0"/>
              <w:left w:val="single" w:sz="1" w:space="0" w:color="CBD5E0"/>
              <w:bottom w:val="single" w:sz="1" w:space="0" w:color="CBD5E0"/>
              <w:right w:val="single" w:sz="1" w:space="0" w:color="CBD5E0"/>
            </w:tcBorders>
            <w:shd w:val="clear" w:color="auto" w:fill="FFFFFF"/>
            <w:tcMar>
              <w:top w:w="80" w:type="dxa"/>
              <w:left w:w="120" w:type="dxa"/>
              <w:bottom w:w="80" w:type="dxa"/>
              <w:right w:w="120" w:type="dxa"/>
            </w:tcMar>
          </w:tcPr>
          <w:p w14:paraId="7F7A7644" w14:textId="77777777" w:rsidR="00AB52CF" w:rsidRDefault="00000000">
            <w:pPr>
              <w:jc w:val="center"/>
            </w:pPr>
            <w:r>
              <w:rPr>
                <w:sz w:val="20"/>
                <w:szCs w:val="20"/>
              </w:rPr>
              <w:t>0.018</w:t>
            </w:r>
          </w:p>
        </w:tc>
        <w:tc>
          <w:tcPr>
            <w:tcW w:w="4960" w:type="dxa"/>
            <w:tcBorders>
              <w:top w:val="single" w:sz="1" w:space="0" w:color="CBD5E0"/>
              <w:left w:val="single" w:sz="1" w:space="0" w:color="CBD5E0"/>
              <w:bottom w:val="single" w:sz="1" w:space="0" w:color="CBD5E0"/>
              <w:right w:val="single" w:sz="1" w:space="0" w:color="CBD5E0"/>
            </w:tcBorders>
            <w:shd w:val="clear" w:color="auto" w:fill="FFFFFF"/>
            <w:tcMar>
              <w:top w:w="80" w:type="dxa"/>
              <w:left w:w="120" w:type="dxa"/>
              <w:bottom w:w="80" w:type="dxa"/>
              <w:right w:w="120" w:type="dxa"/>
            </w:tcMar>
          </w:tcPr>
          <w:p w14:paraId="18181A4C" w14:textId="77777777" w:rsidR="00AB52CF" w:rsidRDefault="00000000">
            <w:pPr>
              <w:jc w:val="center"/>
            </w:pPr>
            <w:r>
              <w:rPr>
                <w:sz w:val="20"/>
                <w:szCs w:val="20"/>
              </w:rPr>
              <w:t>Year — captures long-term trend direction</w:t>
            </w:r>
          </w:p>
        </w:tc>
      </w:tr>
      <w:tr w:rsidR="00AB52CF" w14:paraId="402986B7" w14:textId="77777777">
        <w:tblPrEx>
          <w:tblCellMar>
            <w:top w:w="0" w:type="dxa"/>
            <w:bottom w:w="0" w:type="dxa"/>
          </w:tblCellMar>
        </w:tblPrEx>
        <w:tc>
          <w:tcPr>
            <w:tcW w:w="3000" w:type="dxa"/>
            <w:tcBorders>
              <w:top w:val="single" w:sz="1" w:space="0" w:color="CBD5E0"/>
              <w:left w:val="single" w:sz="1" w:space="0" w:color="CBD5E0"/>
              <w:bottom w:val="single" w:sz="1" w:space="0" w:color="CBD5E0"/>
              <w:right w:val="single" w:sz="1" w:space="0" w:color="CBD5E0"/>
            </w:tcBorders>
            <w:shd w:val="clear" w:color="auto" w:fill="F7FAFC"/>
            <w:tcMar>
              <w:top w:w="80" w:type="dxa"/>
              <w:left w:w="120" w:type="dxa"/>
              <w:bottom w:w="80" w:type="dxa"/>
              <w:right w:w="120" w:type="dxa"/>
            </w:tcMar>
          </w:tcPr>
          <w:p w14:paraId="24A34849" w14:textId="77777777" w:rsidR="00AB52CF" w:rsidRDefault="00000000">
            <w:r>
              <w:rPr>
                <w:color w:val="0D1F3C"/>
                <w:sz w:val="20"/>
                <w:szCs w:val="20"/>
              </w:rPr>
              <w:t>hhs_care_lag_3</w:t>
            </w:r>
          </w:p>
        </w:tc>
        <w:tc>
          <w:tcPr>
            <w:tcW w:w="1400" w:type="dxa"/>
            <w:tcBorders>
              <w:top w:val="single" w:sz="1" w:space="0" w:color="CBD5E0"/>
              <w:left w:val="single" w:sz="1" w:space="0" w:color="CBD5E0"/>
              <w:bottom w:val="single" w:sz="1" w:space="0" w:color="CBD5E0"/>
              <w:right w:val="single" w:sz="1" w:space="0" w:color="CBD5E0"/>
            </w:tcBorders>
            <w:shd w:val="clear" w:color="auto" w:fill="F7FAFC"/>
            <w:tcMar>
              <w:top w:w="80" w:type="dxa"/>
              <w:left w:w="120" w:type="dxa"/>
              <w:bottom w:w="80" w:type="dxa"/>
              <w:right w:w="120" w:type="dxa"/>
            </w:tcMar>
          </w:tcPr>
          <w:p w14:paraId="2718CEFF" w14:textId="77777777" w:rsidR="00AB52CF" w:rsidRDefault="00000000">
            <w:pPr>
              <w:jc w:val="center"/>
            </w:pPr>
            <w:r>
              <w:rPr>
                <w:sz w:val="20"/>
                <w:szCs w:val="20"/>
              </w:rPr>
              <w:t>0.005</w:t>
            </w:r>
          </w:p>
        </w:tc>
        <w:tc>
          <w:tcPr>
            <w:tcW w:w="4960" w:type="dxa"/>
            <w:tcBorders>
              <w:top w:val="single" w:sz="1" w:space="0" w:color="CBD5E0"/>
              <w:left w:val="single" w:sz="1" w:space="0" w:color="CBD5E0"/>
              <w:bottom w:val="single" w:sz="1" w:space="0" w:color="CBD5E0"/>
              <w:right w:val="single" w:sz="1" w:space="0" w:color="CBD5E0"/>
            </w:tcBorders>
            <w:shd w:val="clear" w:color="auto" w:fill="F7FAFC"/>
            <w:tcMar>
              <w:top w:w="80" w:type="dxa"/>
              <w:left w:w="120" w:type="dxa"/>
              <w:bottom w:w="80" w:type="dxa"/>
              <w:right w:w="120" w:type="dxa"/>
            </w:tcMar>
          </w:tcPr>
          <w:p w14:paraId="7DC9C222" w14:textId="77777777" w:rsidR="00AB52CF" w:rsidRDefault="00000000">
            <w:pPr>
              <w:jc w:val="center"/>
            </w:pPr>
            <w:r>
              <w:rPr>
                <w:sz w:val="20"/>
                <w:szCs w:val="20"/>
              </w:rPr>
              <w:t>3-day lag — supporting autoregressive signal</w:t>
            </w:r>
          </w:p>
        </w:tc>
      </w:tr>
      <w:tr w:rsidR="00AB52CF" w14:paraId="11037A9B" w14:textId="77777777">
        <w:tblPrEx>
          <w:tblCellMar>
            <w:top w:w="0" w:type="dxa"/>
            <w:bottom w:w="0" w:type="dxa"/>
          </w:tblCellMar>
        </w:tblPrEx>
        <w:tc>
          <w:tcPr>
            <w:tcW w:w="3000" w:type="dxa"/>
            <w:tcBorders>
              <w:top w:val="single" w:sz="1" w:space="0" w:color="CBD5E0"/>
              <w:left w:val="single" w:sz="1" w:space="0" w:color="CBD5E0"/>
              <w:bottom w:val="single" w:sz="1" w:space="0" w:color="CBD5E0"/>
              <w:right w:val="single" w:sz="1" w:space="0" w:color="CBD5E0"/>
            </w:tcBorders>
            <w:shd w:val="clear" w:color="auto" w:fill="FFFFFF"/>
            <w:tcMar>
              <w:top w:w="80" w:type="dxa"/>
              <w:left w:w="120" w:type="dxa"/>
              <w:bottom w:w="80" w:type="dxa"/>
              <w:right w:w="120" w:type="dxa"/>
            </w:tcMar>
          </w:tcPr>
          <w:p w14:paraId="1421F7C5" w14:textId="77777777" w:rsidR="00AB52CF" w:rsidRDefault="00000000">
            <w:r>
              <w:rPr>
                <w:color w:val="0D1F3C"/>
                <w:sz w:val="20"/>
                <w:szCs w:val="20"/>
              </w:rPr>
              <w:t>month</w:t>
            </w:r>
          </w:p>
        </w:tc>
        <w:tc>
          <w:tcPr>
            <w:tcW w:w="1400" w:type="dxa"/>
            <w:tcBorders>
              <w:top w:val="single" w:sz="1" w:space="0" w:color="CBD5E0"/>
              <w:left w:val="single" w:sz="1" w:space="0" w:color="CBD5E0"/>
              <w:bottom w:val="single" w:sz="1" w:space="0" w:color="CBD5E0"/>
              <w:right w:val="single" w:sz="1" w:space="0" w:color="CBD5E0"/>
            </w:tcBorders>
            <w:shd w:val="clear" w:color="auto" w:fill="FFFFFF"/>
            <w:tcMar>
              <w:top w:w="80" w:type="dxa"/>
              <w:left w:w="120" w:type="dxa"/>
              <w:bottom w:w="80" w:type="dxa"/>
              <w:right w:w="120" w:type="dxa"/>
            </w:tcMar>
          </w:tcPr>
          <w:p w14:paraId="762AF982" w14:textId="77777777" w:rsidR="00AB52CF" w:rsidRDefault="00000000">
            <w:pPr>
              <w:jc w:val="center"/>
            </w:pPr>
            <w:r>
              <w:rPr>
                <w:sz w:val="20"/>
                <w:szCs w:val="20"/>
              </w:rPr>
              <w:t>0.003</w:t>
            </w:r>
          </w:p>
        </w:tc>
        <w:tc>
          <w:tcPr>
            <w:tcW w:w="4960" w:type="dxa"/>
            <w:tcBorders>
              <w:top w:val="single" w:sz="1" w:space="0" w:color="CBD5E0"/>
              <w:left w:val="single" w:sz="1" w:space="0" w:color="CBD5E0"/>
              <w:bottom w:val="single" w:sz="1" w:space="0" w:color="CBD5E0"/>
              <w:right w:val="single" w:sz="1" w:space="0" w:color="CBD5E0"/>
            </w:tcBorders>
            <w:shd w:val="clear" w:color="auto" w:fill="FFFFFF"/>
            <w:tcMar>
              <w:top w:w="80" w:type="dxa"/>
              <w:left w:w="120" w:type="dxa"/>
              <w:bottom w:w="80" w:type="dxa"/>
              <w:right w:w="120" w:type="dxa"/>
            </w:tcMar>
          </w:tcPr>
          <w:p w14:paraId="69B2F23A" w14:textId="77777777" w:rsidR="00AB52CF" w:rsidRDefault="00000000">
            <w:pPr>
              <w:jc w:val="center"/>
            </w:pPr>
            <w:r>
              <w:rPr>
                <w:sz w:val="20"/>
                <w:szCs w:val="20"/>
              </w:rPr>
              <w:t>Month — weak seasonal component</w:t>
            </w:r>
          </w:p>
        </w:tc>
      </w:tr>
      <w:tr w:rsidR="00AB52CF" w14:paraId="49906FF7" w14:textId="77777777">
        <w:tblPrEx>
          <w:tblCellMar>
            <w:top w:w="0" w:type="dxa"/>
            <w:bottom w:w="0" w:type="dxa"/>
          </w:tblCellMar>
        </w:tblPrEx>
        <w:tc>
          <w:tcPr>
            <w:tcW w:w="3000" w:type="dxa"/>
            <w:tcBorders>
              <w:top w:val="single" w:sz="1" w:space="0" w:color="CBD5E0"/>
              <w:left w:val="single" w:sz="1" w:space="0" w:color="CBD5E0"/>
              <w:bottom w:val="single" w:sz="1" w:space="0" w:color="CBD5E0"/>
              <w:right w:val="single" w:sz="1" w:space="0" w:color="CBD5E0"/>
            </w:tcBorders>
            <w:shd w:val="clear" w:color="auto" w:fill="F7FAFC"/>
            <w:tcMar>
              <w:top w:w="80" w:type="dxa"/>
              <w:left w:w="120" w:type="dxa"/>
              <w:bottom w:w="80" w:type="dxa"/>
              <w:right w:w="120" w:type="dxa"/>
            </w:tcMar>
          </w:tcPr>
          <w:p w14:paraId="4D83567D" w14:textId="77777777" w:rsidR="00AB52CF" w:rsidRDefault="00000000">
            <w:proofErr w:type="spellStart"/>
            <w:r>
              <w:rPr>
                <w:color w:val="0D1F3C"/>
                <w:sz w:val="20"/>
                <w:szCs w:val="20"/>
              </w:rPr>
              <w:t>net_flow</w:t>
            </w:r>
            <w:proofErr w:type="spellEnd"/>
          </w:p>
        </w:tc>
        <w:tc>
          <w:tcPr>
            <w:tcW w:w="1400" w:type="dxa"/>
            <w:tcBorders>
              <w:top w:val="single" w:sz="1" w:space="0" w:color="CBD5E0"/>
              <w:left w:val="single" w:sz="1" w:space="0" w:color="CBD5E0"/>
              <w:bottom w:val="single" w:sz="1" w:space="0" w:color="CBD5E0"/>
              <w:right w:val="single" w:sz="1" w:space="0" w:color="CBD5E0"/>
            </w:tcBorders>
            <w:shd w:val="clear" w:color="auto" w:fill="F7FAFC"/>
            <w:tcMar>
              <w:top w:w="80" w:type="dxa"/>
              <w:left w:w="120" w:type="dxa"/>
              <w:bottom w:w="80" w:type="dxa"/>
              <w:right w:w="120" w:type="dxa"/>
            </w:tcMar>
          </w:tcPr>
          <w:p w14:paraId="4299CC81" w14:textId="77777777" w:rsidR="00AB52CF" w:rsidRDefault="00000000">
            <w:pPr>
              <w:jc w:val="center"/>
            </w:pPr>
            <w:r>
              <w:rPr>
                <w:sz w:val="20"/>
                <w:szCs w:val="20"/>
              </w:rPr>
              <w:t>0.002</w:t>
            </w:r>
          </w:p>
        </w:tc>
        <w:tc>
          <w:tcPr>
            <w:tcW w:w="4960" w:type="dxa"/>
            <w:tcBorders>
              <w:top w:val="single" w:sz="1" w:space="0" w:color="CBD5E0"/>
              <w:left w:val="single" w:sz="1" w:space="0" w:color="CBD5E0"/>
              <w:bottom w:val="single" w:sz="1" w:space="0" w:color="CBD5E0"/>
              <w:right w:val="single" w:sz="1" w:space="0" w:color="CBD5E0"/>
            </w:tcBorders>
            <w:shd w:val="clear" w:color="auto" w:fill="F7FAFC"/>
            <w:tcMar>
              <w:top w:w="80" w:type="dxa"/>
              <w:left w:w="120" w:type="dxa"/>
              <w:bottom w:w="80" w:type="dxa"/>
              <w:right w:w="120" w:type="dxa"/>
            </w:tcMar>
          </w:tcPr>
          <w:p w14:paraId="21475B90" w14:textId="77777777" w:rsidR="00AB52CF" w:rsidRDefault="00000000">
            <w:pPr>
              <w:jc w:val="center"/>
            </w:pPr>
            <w:r>
              <w:rPr>
                <w:sz w:val="20"/>
                <w:szCs w:val="20"/>
              </w:rPr>
              <w:t>Net flow — minor directional signal</w:t>
            </w:r>
          </w:p>
        </w:tc>
      </w:tr>
    </w:tbl>
    <w:p w14:paraId="4524299A" w14:textId="77777777" w:rsidR="00AB52CF" w:rsidRDefault="00AB52CF">
      <w:pPr>
        <w:spacing w:before="40" w:after="40"/>
      </w:pPr>
    </w:p>
    <w:p w14:paraId="175CCEBE" w14:textId="77777777" w:rsidR="00AB52CF" w:rsidRDefault="00000000">
      <w:pPr>
        <w:spacing w:before="60" w:after="120"/>
        <w:jc w:val="center"/>
      </w:pPr>
      <w:r>
        <w:rPr>
          <w:i/>
          <w:iCs/>
          <w:color w:val="718096"/>
          <w:sz w:val="18"/>
          <w:szCs w:val="18"/>
        </w:rPr>
        <w:t xml:space="preserve">Table 3: </w:t>
      </w:r>
      <w:proofErr w:type="spellStart"/>
      <w:r>
        <w:rPr>
          <w:i/>
          <w:iCs/>
          <w:color w:val="718096"/>
          <w:sz w:val="18"/>
          <w:szCs w:val="18"/>
        </w:rPr>
        <w:t>XGBoost</w:t>
      </w:r>
      <w:proofErr w:type="spellEnd"/>
      <w:r>
        <w:rPr>
          <w:i/>
          <w:iCs/>
          <w:color w:val="718096"/>
          <w:sz w:val="18"/>
          <w:szCs w:val="18"/>
        </w:rPr>
        <w:t xml:space="preserve"> feature importance scores</w:t>
      </w:r>
    </w:p>
    <w:p w14:paraId="5E7401AC" w14:textId="77777777" w:rsidR="00AB52CF" w:rsidRDefault="00000000">
      <w:pPr>
        <w:spacing w:before="80" w:after="80"/>
      </w:pPr>
      <w:r>
        <w:t>The dominance of hhs_care_roll_min_30 (0.541) is revealing — it essentially captures the post-break floor value, confirming that the model's primary predictive mechanism is recognising which regime it is operating in. The top four features account for 97.2% of total importance.</w:t>
      </w:r>
    </w:p>
    <w:p w14:paraId="23711B99" w14:textId="77777777" w:rsidR="00AB52CF" w:rsidRDefault="00000000">
      <w:r>
        <w:br w:type="page"/>
      </w:r>
    </w:p>
    <w:p w14:paraId="453C7694" w14:textId="77777777" w:rsidR="00AB52CF" w:rsidRDefault="00000000">
      <w:pPr>
        <w:pStyle w:val="Heading1"/>
      </w:pPr>
      <w:r>
        <w:lastRenderedPageBreak/>
        <w:t>5. Modelling Approach</w:t>
      </w:r>
    </w:p>
    <w:p w14:paraId="3B9DD5DF" w14:textId="77777777" w:rsidR="00AB52CF" w:rsidRDefault="00000000">
      <w:pPr>
        <w:spacing w:before="80" w:after="80"/>
      </w:pPr>
      <w:r>
        <w:t>All models were evaluated on a chronological train/test split — no random shuffling was applied, as this would constitute data leakage in a time-series context. For care load forecasting, the test set comprised the final 57 records (approximately 10% of the full dataset), with the split date of June 2024 chosen to ensure both pre- and post-break data appeared in the training set for full-window models.</w:t>
      </w:r>
    </w:p>
    <w:p w14:paraId="31229824" w14:textId="77777777" w:rsidR="00AB52CF" w:rsidRDefault="00000000">
      <w:pPr>
        <w:pStyle w:val="Heading2"/>
        <w:pBdr>
          <w:bottom w:val="single" w:sz="2" w:space="0" w:color="0A7B6C"/>
        </w:pBdr>
      </w:pPr>
      <w:proofErr w:type="gramStart"/>
      <w:r>
        <w:t>5.1  Phase</w:t>
      </w:r>
      <w:proofErr w:type="gramEnd"/>
      <w:r>
        <w:t xml:space="preserve"> 1 — Baseline Models</w:t>
      </w:r>
    </w:p>
    <w:p w14:paraId="17336589" w14:textId="77777777" w:rsidR="00AB52CF" w:rsidRDefault="00000000">
      <w:pPr>
        <w:spacing w:before="80" w:after="80"/>
      </w:pPr>
      <w:r>
        <w:t>Two naïve baselines were established to define the performance floor:</w:t>
      </w:r>
    </w:p>
    <w:p w14:paraId="29CB050C" w14:textId="77777777" w:rsidR="00AB52CF" w:rsidRDefault="00000000">
      <w:pPr>
        <w:pStyle w:val="ListParagraph"/>
        <w:numPr>
          <w:ilvl w:val="0"/>
          <w:numId w:val="2"/>
        </w:numPr>
        <w:spacing w:before="60" w:after="60"/>
      </w:pPr>
      <w:r>
        <w:rPr>
          <w:b/>
          <w:bCs/>
        </w:rPr>
        <w:t xml:space="preserve">Naïve Persistence: </w:t>
      </w:r>
      <w:r>
        <w:t>Predict tomorrow = today. MAE 6.06. Despite its simplicity, this proved exceptionally difficult to beat due to the 0.99 lag-1 autocorrelation.</w:t>
      </w:r>
    </w:p>
    <w:p w14:paraId="6C8D73C0" w14:textId="77777777" w:rsidR="00AB52CF" w:rsidRDefault="00000000">
      <w:pPr>
        <w:pStyle w:val="ListParagraph"/>
        <w:numPr>
          <w:ilvl w:val="0"/>
          <w:numId w:val="2"/>
        </w:numPr>
        <w:spacing w:before="60" w:after="60"/>
      </w:pPr>
      <w:r>
        <w:rPr>
          <w:b/>
          <w:bCs/>
        </w:rPr>
        <w:t xml:space="preserve">Moving Average (w=3): </w:t>
      </w:r>
      <w:r>
        <w:t>3-day rolling mean prediction. MAE 9.76 — worse than naïve because the slight trend in the test period caused systematic under/over-prediction.</w:t>
      </w:r>
    </w:p>
    <w:p w14:paraId="099E7727" w14:textId="77777777" w:rsidR="00AB52CF" w:rsidRDefault="00000000">
      <w:pPr>
        <w:pStyle w:val="Heading2"/>
        <w:pBdr>
          <w:bottom w:val="single" w:sz="2" w:space="0" w:color="0A7B6C"/>
        </w:pBdr>
      </w:pPr>
      <w:proofErr w:type="gramStart"/>
      <w:r>
        <w:t>5.2  Phase</w:t>
      </w:r>
      <w:proofErr w:type="gramEnd"/>
      <w:r>
        <w:t xml:space="preserve"> 2 — Statistical Models (All Failed)</w:t>
      </w:r>
    </w:p>
    <w:p w14:paraId="1F4DC3F3" w14:textId="77777777" w:rsidR="00AB52CF" w:rsidRDefault="00000000">
      <w:pPr>
        <w:spacing w:before="80" w:after="80"/>
      </w:pPr>
      <w:r>
        <w:t>Three classical time-series models were fitted on the full training window:</w:t>
      </w:r>
    </w:p>
    <w:p w14:paraId="0562FE46" w14:textId="77777777" w:rsidR="00AB52CF" w:rsidRDefault="00000000">
      <w:pPr>
        <w:pStyle w:val="ListParagraph"/>
        <w:numPr>
          <w:ilvl w:val="0"/>
          <w:numId w:val="2"/>
        </w:numPr>
        <w:spacing w:before="60" w:after="60"/>
      </w:pPr>
      <w:r>
        <w:rPr>
          <w:b/>
          <w:bCs/>
        </w:rPr>
        <w:t xml:space="preserve">Exponential Smoothing: </w:t>
      </w:r>
      <w:r>
        <w:t>MAE 86.69. Converged to a smoothed estimate of the pre-break mean (~6,000), producing errors of ~4,000 on post-break test data.</w:t>
      </w:r>
    </w:p>
    <w:p w14:paraId="41C1715C" w14:textId="77777777" w:rsidR="00AB52CF" w:rsidRDefault="00000000">
      <w:pPr>
        <w:pStyle w:val="ListParagraph"/>
        <w:numPr>
          <w:ilvl w:val="0"/>
          <w:numId w:val="2"/>
        </w:numPr>
        <w:spacing w:before="60" w:after="60"/>
      </w:pPr>
      <w:proofErr w:type="gramStart"/>
      <w:r>
        <w:rPr>
          <w:b/>
          <w:bCs/>
        </w:rPr>
        <w:t>ARIMA(</w:t>
      </w:r>
      <w:proofErr w:type="gramEnd"/>
      <w:r>
        <w:rPr>
          <w:b/>
          <w:bCs/>
        </w:rPr>
        <w:t xml:space="preserve">3,1,3): </w:t>
      </w:r>
      <w:r>
        <w:t>MAE 144.35. The differencing operator captured the level shift partially but ARIMA's mean-reverting behaviour anchored forecasts too high.</w:t>
      </w:r>
    </w:p>
    <w:p w14:paraId="3526BD86" w14:textId="77777777" w:rsidR="00AB52CF" w:rsidRDefault="00000000">
      <w:pPr>
        <w:pStyle w:val="ListParagraph"/>
        <w:numPr>
          <w:ilvl w:val="0"/>
          <w:numId w:val="2"/>
        </w:numPr>
        <w:spacing w:before="60" w:after="60"/>
      </w:pPr>
      <w:r>
        <w:rPr>
          <w:b/>
          <w:bCs/>
        </w:rPr>
        <w:t xml:space="preserve">SARIMA: </w:t>
      </w:r>
      <w:r>
        <w:t>MAE 433.17. The seasonal components amplified the regime-change error. The worst-performing model overall — adding seasonal structure made the anchoring problem worse.</w:t>
      </w:r>
    </w:p>
    <w:p w14:paraId="2A41951F" w14:textId="77777777" w:rsidR="00AB52CF" w:rsidRDefault="00AB52CF">
      <w:pPr>
        <w:spacing w:before="40"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AB52CF" w14:paraId="4C9F78CC" w14:textId="77777777">
        <w:tblPrEx>
          <w:tblCellMar>
            <w:top w:w="0" w:type="dxa"/>
            <w:bottom w:w="0" w:type="dxa"/>
          </w:tblCellMar>
        </w:tblPrEx>
        <w:tc>
          <w:tcPr>
            <w:tcW w:w="9360" w:type="dxa"/>
            <w:tcBorders>
              <w:top w:val="single" w:sz="6" w:space="0" w:color="0A7B6C"/>
              <w:left w:val="thick" w:sz="12" w:space="0" w:color="0A7B6C"/>
              <w:bottom w:val="none" w:sz="0" w:space="0" w:color="FFFFFF"/>
              <w:right w:val="none" w:sz="0" w:space="0" w:color="FFFFFF"/>
            </w:tcBorders>
            <w:shd w:val="clear" w:color="auto" w:fill="FEF3CD"/>
            <w:tcMar>
              <w:top w:w="120" w:type="dxa"/>
              <w:left w:w="200" w:type="dxa"/>
              <w:bottom w:w="120" w:type="dxa"/>
              <w:right w:w="120" w:type="dxa"/>
            </w:tcMar>
          </w:tcPr>
          <w:p w14:paraId="31029F21" w14:textId="77777777" w:rsidR="00AB52CF" w:rsidRDefault="00000000">
            <w:r>
              <w:rPr>
                <w:i/>
                <w:iCs/>
                <w:color w:val="2D3748"/>
              </w:rPr>
              <w:t>Statistical model failure was not a model quality issue — it was a data regime issue. Exponential Smoothing, ARIMA, and SARIMA are well-specified for stationary or trend-stationary series. A permanent structural break violates their core assumptions.</w:t>
            </w:r>
          </w:p>
        </w:tc>
      </w:tr>
    </w:tbl>
    <w:p w14:paraId="1CEA12B6" w14:textId="77777777" w:rsidR="00AB52CF" w:rsidRDefault="00000000">
      <w:pPr>
        <w:pStyle w:val="Heading2"/>
        <w:pBdr>
          <w:bottom w:val="single" w:sz="2" w:space="0" w:color="0A7B6C"/>
        </w:pBdr>
      </w:pPr>
      <w:proofErr w:type="gramStart"/>
      <w:r>
        <w:t>5.3  Phase</w:t>
      </w:r>
      <w:proofErr w:type="gramEnd"/>
      <w:r>
        <w:t xml:space="preserve"> 3 — Full-Window ML Models (Also Failed)</w:t>
      </w:r>
    </w:p>
    <w:p w14:paraId="5ADC9978" w14:textId="77777777" w:rsidR="00AB52CF" w:rsidRDefault="00000000">
      <w:pPr>
        <w:spacing w:before="80" w:after="80"/>
      </w:pPr>
      <w:r>
        <w:t>Three ML models were trained on the complete dataset (Jan 2023 – Jun 2024 training):</w:t>
      </w:r>
    </w:p>
    <w:p w14:paraId="5BF88A20" w14:textId="77777777" w:rsidR="00AB52CF" w:rsidRDefault="00000000">
      <w:pPr>
        <w:pStyle w:val="ListParagraph"/>
        <w:numPr>
          <w:ilvl w:val="0"/>
          <w:numId w:val="2"/>
        </w:numPr>
        <w:spacing w:before="60" w:after="60"/>
      </w:pPr>
      <w:r>
        <w:rPr>
          <w:b/>
          <w:bCs/>
        </w:rPr>
        <w:t xml:space="preserve">Linear Regression: </w:t>
      </w:r>
      <w:r>
        <w:t>MAE 23.38. Learned a coefficient strongly weighted on lag-1, but the intercept was calibrated to the pre-break mean.</w:t>
      </w:r>
    </w:p>
    <w:p w14:paraId="68D7DF4A" w14:textId="77777777" w:rsidR="00AB52CF" w:rsidRDefault="00000000">
      <w:pPr>
        <w:pStyle w:val="ListParagraph"/>
        <w:numPr>
          <w:ilvl w:val="0"/>
          <w:numId w:val="2"/>
        </w:numPr>
        <w:spacing w:before="60" w:after="60"/>
      </w:pPr>
      <w:r>
        <w:rPr>
          <w:b/>
          <w:bCs/>
        </w:rPr>
        <w:t xml:space="preserve">Random Forest: </w:t>
      </w:r>
      <w:r>
        <w:t>MAE 25.41. Better generalisation than Linear Regression but still anchored to the wrong distribution through ensemble averaging.</w:t>
      </w:r>
    </w:p>
    <w:p w14:paraId="3C9E08C7" w14:textId="77777777" w:rsidR="00AB52CF" w:rsidRDefault="00000000">
      <w:pPr>
        <w:pStyle w:val="ListParagraph"/>
        <w:numPr>
          <w:ilvl w:val="0"/>
          <w:numId w:val="2"/>
        </w:numPr>
        <w:spacing w:before="60" w:after="60"/>
      </w:pPr>
      <w:proofErr w:type="spellStart"/>
      <w:r>
        <w:rPr>
          <w:b/>
          <w:bCs/>
        </w:rPr>
        <w:t>XGBoost</w:t>
      </w:r>
      <w:proofErr w:type="spellEnd"/>
      <w:r>
        <w:rPr>
          <w:b/>
          <w:bCs/>
        </w:rPr>
        <w:t xml:space="preserve"> (full): </w:t>
      </w:r>
      <w:r>
        <w:t>MAE 40.66. Worse than Linear Regression — the boosting process over-fitted to the pre-break high-variance period.</w:t>
      </w:r>
    </w:p>
    <w:p w14:paraId="15C38D8B" w14:textId="77777777" w:rsidR="00AB52CF" w:rsidRDefault="00000000">
      <w:pPr>
        <w:spacing w:before="80" w:after="80"/>
      </w:pPr>
      <w:r>
        <w:t>All three beat the statistical models but none came close to the naïve baseline. The root cause was identical: training mean ~6,061 vs test mean ~2,300.</w:t>
      </w:r>
    </w:p>
    <w:p w14:paraId="0A19B968" w14:textId="77777777" w:rsidR="00AB52CF" w:rsidRDefault="00000000">
      <w:pPr>
        <w:pStyle w:val="Heading2"/>
        <w:pBdr>
          <w:bottom w:val="single" w:sz="2" w:space="0" w:color="0A7B6C"/>
        </w:pBdr>
      </w:pPr>
      <w:proofErr w:type="gramStart"/>
      <w:r>
        <w:t>5.4  Phase</w:t>
      </w:r>
      <w:proofErr w:type="gramEnd"/>
      <w:r>
        <w:t xml:space="preserve"> 4 — Recent-Window ML Models (Solution)</w:t>
      </w:r>
    </w:p>
    <w:p w14:paraId="17EA8F32" w14:textId="77777777" w:rsidR="00AB52CF" w:rsidRDefault="00000000">
      <w:pPr>
        <w:spacing w:before="80" w:after="80"/>
      </w:pPr>
      <w:r>
        <w:lastRenderedPageBreak/>
        <w:t>All three ML models were retrained using only data from June 2024 onwards — after the care load had already begun declining toward the post-break level. This reduced the train-test mean gap from ~3,761 to ~500.</w:t>
      </w:r>
    </w:p>
    <w:p w14:paraId="1C841E6C" w14:textId="77777777" w:rsidR="00AB52CF" w:rsidRDefault="00000000">
      <w:pPr>
        <w:pStyle w:val="ListParagraph"/>
        <w:numPr>
          <w:ilvl w:val="0"/>
          <w:numId w:val="2"/>
        </w:numPr>
        <w:spacing w:before="60" w:after="60"/>
      </w:pPr>
      <w:r>
        <w:rPr>
          <w:b/>
          <w:bCs/>
        </w:rPr>
        <w:t xml:space="preserve">Linear Regression (Recent): </w:t>
      </w:r>
      <w:r>
        <w:t>MAE 7.48. Now above the naïve baseline but a significant improvement over the full-window version (23.38 → 7.48).</w:t>
      </w:r>
    </w:p>
    <w:p w14:paraId="138FE3FD" w14:textId="77777777" w:rsidR="00AB52CF" w:rsidRDefault="00000000">
      <w:pPr>
        <w:pStyle w:val="ListParagraph"/>
        <w:numPr>
          <w:ilvl w:val="0"/>
          <w:numId w:val="2"/>
        </w:numPr>
        <w:spacing w:before="60" w:after="60"/>
      </w:pPr>
      <w:r>
        <w:rPr>
          <w:b/>
          <w:bCs/>
        </w:rPr>
        <w:t xml:space="preserve">Random Forest (Recent): </w:t>
      </w:r>
      <w:r>
        <w:t>MAE 6.54. Below the naïve baseline — first model to do so.</w:t>
      </w:r>
    </w:p>
    <w:p w14:paraId="122A10B8" w14:textId="77777777" w:rsidR="00AB52CF" w:rsidRDefault="00000000">
      <w:pPr>
        <w:pStyle w:val="ListParagraph"/>
        <w:numPr>
          <w:ilvl w:val="0"/>
          <w:numId w:val="2"/>
        </w:numPr>
        <w:spacing w:before="60" w:after="60"/>
      </w:pPr>
      <w:proofErr w:type="spellStart"/>
      <w:r>
        <w:rPr>
          <w:b/>
          <w:bCs/>
        </w:rPr>
        <w:t>XGBoost</w:t>
      </w:r>
      <w:proofErr w:type="spellEnd"/>
      <w:r>
        <w:rPr>
          <w:b/>
          <w:bCs/>
        </w:rPr>
        <w:t xml:space="preserve"> (Recent): </w:t>
      </w:r>
      <w:r>
        <w:t>MAE 5.48, RMSE 7.12, MAPE 0.23%. Best model. Beat naïve by 9.6%.</w:t>
      </w:r>
    </w:p>
    <w:p w14:paraId="72D011F9" w14:textId="77777777" w:rsidR="00AB52CF" w:rsidRDefault="00000000">
      <w:pPr>
        <w:spacing w:before="80" w:after="80"/>
      </w:pPr>
      <w:r>
        <w:t xml:space="preserve">Hyperparameter tuning for </w:t>
      </w:r>
      <w:proofErr w:type="spellStart"/>
      <w:r>
        <w:t>XGBoost</w:t>
      </w:r>
      <w:proofErr w:type="spellEnd"/>
      <w:r>
        <w:t xml:space="preserve"> (</w:t>
      </w:r>
      <w:proofErr w:type="spellStart"/>
      <w:r>
        <w:t>GridSearchCV</w:t>
      </w:r>
      <w:proofErr w:type="spellEnd"/>
      <w:r>
        <w:t>, 5-fold time-series CV):</w:t>
      </w:r>
    </w:p>
    <w:p w14:paraId="334E60F7" w14:textId="77777777" w:rsidR="00AB52CF" w:rsidRDefault="00000000">
      <w:pPr>
        <w:pStyle w:val="ListParagraph"/>
        <w:numPr>
          <w:ilvl w:val="0"/>
          <w:numId w:val="2"/>
        </w:numPr>
        <w:spacing w:before="60" w:after="60"/>
      </w:pPr>
      <w:proofErr w:type="spellStart"/>
      <w:r>
        <w:t>n_estimators</w:t>
      </w:r>
      <w:proofErr w:type="spellEnd"/>
      <w:r>
        <w:t xml:space="preserve">: </w:t>
      </w:r>
      <w:proofErr w:type="gramStart"/>
      <w:r>
        <w:t>200  |</w:t>
      </w:r>
      <w:proofErr w:type="gramEnd"/>
      <w:r>
        <w:t xml:space="preserve">  </w:t>
      </w:r>
      <w:proofErr w:type="spellStart"/>
      <w:r>
        <w:t>learning_rate</w:t>
      </w:r>
      <w:proofErr w:type="spellEnd"/>
      <w:r>
        <w:t xml:space="preserve">: </w:t>
      </w:r>
      <w:proofErr w:type="gramStart"/>
      <w:r>
        <w:t>0.05  |</w:t>
      </w:r>
      <w:proofErr w:type="gramEnd"/>
      <w:r>
        <w:t xml:space="preserve">  </w:t>
      </w:r>
      <w:proofErr w:type="spellStart"/>
      <w:r>
        <w:t>max_depth</w:t>
      </w:r>
      <w:proofErr w:type="spellEnd"/>
      <w:r>
        <w:t>: 4</w:t>
      </w:r>
    </w:p>
    <w:p w14:paraId="60EA9F99" w14:textId="77777777" w:rsidR="00AB52CF" w:rsidRDefault="00000000">
      <w:pPr>
        <w:pStyle w:val="ListParagraph"/>
        <w:numPr>
          <w:ilvl w:val="0"/>
          <w:numId w:val="2"/>
        </w:numPr>
        <w:spacing w:before="60" w:after="60"/>
      </w:pPr>
      <w:r>
        <w:t xml:space="preserve">subsample: </w:t>
      </w:r>
      <w:proofErr w:type="gramStart"/>
      <w:r>
        <w:t>1.0  |</w:t>
      </w:r>
      <w:proofErr w:type="gramEnd"/>
      <w:r>
        <w:t xml:space="preserve">  </w:t>
      </w:r>
      <w:proofErr w:type="spellStart"/>
      <w:r>
        <w:t>colsample_bytree</w:t>
      </w:r>
      <w:proofErr w:type="spellEnd"/>
      <w:r>
        <w:t xml:space="preserve">: </w:t>
      </w:r>
      <w:proofErr w:type="gramStart"/>
      <w:r>
        <w:t>0.8  |</w:t>
      </w:r>
      <w:proofErr w:type="gramEnd"/>
      <w:r>
        <w:t xml:space="preserve">  </w:t>
      </w:r>
      <w:proofErr w:type="spellStart"/>
      <w:r>
        <w:t>min_child_weight</w:t>
      </w:r>
      <w:proofErr w:type="spellEnd"/>
      <w:r>
        <w:t>: 1</w:t>
      </w:r>
    </w:p>
    <w:p w14:paraId="23F98F71" w14:textId="77777777" w:rsidR="00AB52CF" w:rsidRDefault="00000000">
      <w:r>
        <w:br w:type="page"/>
      </w:r>
    </w:p>
    <w:p w14:paraId="3800BA3E" w14:textId="77777777" w:rsidR="00AB52CF" w:rsidRDefault="00000000">
      <w:pPr>
        <w:pStyle w:val="Heading1"/>
      </w:pPr>
      <w:r>
        <w:lastRenderedPageBreak/>
        <w:t>6. Results</w:t>
      </w:r>
    </w:p>
    <w:p w14:paraId="0EF5AE59" w14:textId="77777777" w:rsidR="00AB52CF" w:rsidRDefault="00000000">
      <w:pPr>
        <w:pStyle w:val="Heading2"/>
        <w:pBdr>
          <w:bottom w:val="single" w:sz="2" w:space="0" w:color="0A7B6C"/>
        </w:pBdr>
      </w:pPr>
      <w:proofErr w:type="gramStart"/>
      <w:r>
        <w:t>6.1  Complete</w:t>
      </w:r>
      <w:proofErr w:type="gramEnd"/>
      <w:r>
        <w:t xml:space="preserve"> Model Leaderboard — Care Load</w:t>
      </w:r>
    </w:p>
    <w:p w14:paraId="022E4D4D" w14:textId="77777777" w:rsidR="00AB52CF" w:rsidRDefault="00AB52CF">
      <w:pPr>
        <w:spacing w:before="40" w:after="40"/>
      </w:pPr>
    </w:p>
    <w:tbl>
      <w:tblPr>
        <w:tblW w:w="79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1200"/>
        <w:gridCol w:w="1200"/>
        <w:gridCol w:w="1200"/>
        <w:gridCol w:w="1560"/>
      </w:tblGrid>
      <w:tr w:rsidR="00AB52CF" w14:paraId="0FD5BD97" w14:textId="77777777">
        <w:tblPrEx>
          <w:tblCellMar>
            <w:top w:w="0" w:type="dxa"/>
            <w:bottom w:w="0" w:type="dxa"/>
          </w:tblCellMar>
        </w:tblPrEx>
        <w:trPr>
          <w:tblHeader/>
        </w:trPr>
        <w:tc>
          <w:tcPr>
            <w:tcW w:w="2800" w:type="dxa"/>
            <w:tcBorders>
              <w:top w:val="single" w:sz="1" w:space="0" w:color="1A2F4E"/>
              <w:left w:val="single" w:sz="1" w:space="0" w:color="1A2F4E"/>
              <w:bottom w:val="single" w:sz="1" w:space="0" w:color="1A2F4E"/>
              <w:right w:val="single" w:sz="1" w:space="0" w:color="1A2F4E"/>
            </w:tcBorders>
            <w:shd w:val="clear" w:color="auto" w:fill="0D1F3C"/>
            <w:tcMar>
              <w:top w:w="100" w:type="dxa"/>
              <w:left w:w="120" w:type="dxa"/>
              <w:bottom w:w="100" w:type="dxa"/>
              <w:right w:w="120" w:type="dxa"/>
            </w:tcMar>
          </w:tcPr>
          <w:p w14:paraId="45582298" w14:textId="77777777" w:rsidR="00AB52CF" w:rsidRDefault="00000000">
            <w:pPr>
              <w:jc w:val="center"/>
            </w:pPr>
            <w:r>
              <w:rPr>
                <w:b/>
                <w:bCs/>
                <w:color w:val="FFFFFF"/>
                <w:sz w:val="20"/>
                <w:szCs w:val="20"/>
              </w:rPr>
              <w:t>Model</w:t>
            </w:r>
          </w:p>
        </w:tc>
        <w:tc>
          <w:tcPr>
            <w:tcW w:w="1200" w:type="dxa"/>
            <w:tcBorders>
              <w:top w:val="single" w:sz="1" w:space="0" w:color="1A2F4E"/>
              <w:left w:val="single" w:sz="1" w:space="0" w:color="1A2F4E"/>
              <w:bottom w:val="single" w:sz="1" w:space="0" w:color="1A2F4E"/>
              <w:right w:val="single" w:sz="1" w:space="0" w:color="1A2F4E"/>
            </w:tcBorders>
            <w:shd w:val="clear" w:color="auto" w:fill="0D1F3C"/>
            <w:tcMar>
              <w:top w:w="100" w:type="dxa"/>
              <w:left w:w="120" w:type="dxa"/>
              <w:bottom w:w="100" w:type="dxa"/>
              <w:right w:w="120" w:type="dxa"/>
            </w:tcMar>
          </w:tcPr>
          <w:p w14:paraId="6133EDB9" w14:textId="77777777" w:rsidR="00AB52CF" w:rsidRDefault="00000000">
            <w:pPr>
              <w:jc w:val="center"/>
            </w:pPr>
            <w:r>
              <w:rPr>
                <w:b/>
                <w:bCs/>
                <w:color w:val="FFFFFF"/>
                <w:sz w:val="20"/>
                <w:szCs w:val="20"/>
              </w:rPr>
              <w:t>MAE ↓</w:t>
            </w:r>
          </w:p>
        </w:tc>
        <w:tc>
          <w:tcPr>
            <w:tcW w:w="1200" w:type="dxa"/>
            <w:tcBorders>
              <w:top w:val="single" w:sz="1" w:space="0" w:color="1A2F4E"/>
              <w:left w:val="single" w:sz="1" w:space="0" w:color="1A2F4E"/>
              <w:bottom w:val="single" w:sz="1" w:space="0" w:color="1A2F4E"/>
              <w:right w:val="single" w:sz="1" w:space="0" w:color="1A2F4E"/>
            </w:tcBorders>
            <w:shd w:val="clear" w:color="auto" w:fill="0D1F3C"/>
            <w:tcMar>
              <w:top w:w="100" w:type="dxa"/>
              <w:left w:w="120" w:type="dxa"/>
              <w:bottom w:w="100" w:type="dxa"/>
              <w:right w:w="120" w:type="dxa"/>
            </w:tcMar>
          </w:tcPr>
          <w:p w14:paraId="2033AE25" w14:textId="77777777" w:rsidR="00AB52CF" w:rsidRDefault="00000000">
            <w:pPr>
              <w:jc w:val="center"/>
            </w:pPr>
            <w:r>
              <w:rPr>
                <w:b/>
                <w:bCs/>
                <w:color w:val="FFFFFF"/>
                <w:sz w:val="20"/>
                <w:szCs w:val="20"/>
              </w:rPr>
              <w:t>RMSE ↓</w:t>
            </w:r>
          </w:p>
        </w:tc>
        <w:tc>
          <w:tcPr>
            <w:tcW w:w="1200" w:type="dxa"/>
            <w:tcBorders>
              <w:top w:val="single" w:sz="1" w:space="0" w:color="1A2F4E"/>
              <w:left w:val="single" w:sz="1" w:space="0" w:color="1A2F4E"/>
              <w:bottom w:val="single" w:sz="1" w:space="0" w:color="1A2F4E"/>
              <w:right w:val="single" w:sz="1" w:space="0" w:color="1A2F4E"/>
            </w:tcBorders>
            <w:shd w:val="clear" w:color="auto" w:fill="0D1F3C"/>
            <w:tcMar>
              <w:top w:w="100" w:type="dxa"/>
              <w:left w:w="120" w:type="dxa"/>
              <w:bottom w:w="100" w:type="dxa"/>
              <w:right w:w="120" w:type="dxa"/>
            </w:tcMar>
          </w:tcPr>
          <w:p w14:paraId="79AC9668" w14:textId="77777777" w:rsidR="00AB52CF" w:rsidRDefault="00000000">
            <w:pPr>
              <w:jc w:val="center"/>
            </w:pPr>
            <w:r>
              <w:rPr>
                <w:b/>
                <w:bCs/>
                <w:color w:val="FFFFFF"/>
                <w:sz w:val="20"/>
                <w:szCs w:val="20"/>
              </w:rPr>
              <w:t>MAPE ↓</w:t>
            </w:r>
          </w:p>
        </w:tc>
        <w:tc>
          <w:tcPr>
            <w:tcW w:w="1560" w:type="dxa"/>
            <w:tcBorders>
              <w:top w:val="single" w:sz="1" w:space="0" w:color="1A2F4E"/>
              <w:left w:val="single" w:sz="1" w:space="0" w:color="1A2F4E"/>
              <w:bottom w:val="single" w:sz="1" w:space="0" w:color="1A2F4E"/>
              <w:right w:val="single" w:sz="1" w:space="0" w:color="1A2F4E"/>
            </w:tcBorders>
            <w:shd w:val="clear" w:color="auto" w:fill="0D1F3C"/>
            <w:tcMar>
              <w:top w:w="100" w:type="dxa"/>
              <w:left w:w="120" w:type="dxa"/>
              <w:bottom w:w="100" w:type="dxa"/>
              <w:right w:w="120" w:type="dxa"/>
            </w:tcMar>
          </w:tcPr>
          <w:p w14:paraId="6D13133B" w14:textId="77777777" w:rsidR="00AB52CF" w:rsidRDefault="00000000">
            <w:pPr>
              <w:jc w:val="center"/>
            </w:pPr>
            <w:r>
              <w:rPr>
                <w:b/>
                <w:bCs/>
                <w:color w:val="FFFFFF"/>
                <w:sz w:val="20"/>
                <w:szCs w:val="20"/>
              </w:rPr>
              <w:t>vs Naïve</w:t>
            </w:r>
          </w:p>
        </w:tc>
      </w:tr>
      <w:tr w:rsidR="00AB52CF" w14:paraId="4CD040CC" w14:textId="77777777">
        <w:tblPrEx>
          <w:tblCellMar>
            <w:top w:w="0" w:type="dxa"/>
            <w:bottom w:w="0" w:type="dxa"/>
          </w:tblCellMar>
        </w:tblPrEx>
        <w:tc>
          <w:tcPr>
            <w:tcW w:w="2800" w:type="dxa"/>
            <w:tcBorders>
              <w:top w:val="single" w:sz="1" w:space="0" w:color="CBD5E0"/>
              <w:left w:val="single" w:sz="1" w:space="0" w:color="CBD5E0"/>
              <w:bottom w:val="single" w:sz="1" w:space="0" w:color="CBD5E0"/>
              <w:right w:val="single" w:sz="1" w:space="0" w:color="CBD5E0"/>
            </w:tcBorders>
            <w:shd w:val="clear" w:color="auto" w:fill="FFFFFF"/>
            <w:tcMar>
              <w:top w:w="80" w:type="dxa"/>
              <w:left w:w="120" w:type="dxa"/>
              <w:bottom w:w="80" w:type="dxa"/>
              <w:right w:w="120" w:type="dxa"/>
            </w:tcMar>
          </w:tcPr>
          <w:p w14:paraId="15D706C6" w14:textId="77777777" w:rsidR="00AB52CF" w:rsidRDefault="00000000">
            <w:r>
              <w:rPr>
                <w:b/>
                <w:bCs/>
                <w:color w:val="0D1F3C"/>
                <w:sz w:val="20"/>
                <w:szCs w:val="20"/>
              </w:rPr>
              <w:t xml:space="preserve">🏆 </w:t>
            </w:r>
            <w:proofErr w:type="spellStart"/>
            <w:r>
              <w:rPr>
                <w:b/>
                <w:bCs/>
                <w:color w:val="0D1F3C"/>
                <w:sz w:val="20"/>
                <w:szCs w:val="20"/>
              </w:rPr>
              <w:t>XGBoost</w:t>
            </w:r>
            <w:proofErr w:type="spellEnd"/>
            <w:r>
              <w:rPr>
                <w:b/>
                <w:bCs/>
                <w:color w:val="0D1F3C"/>
                <w:sz w:val="20"/>
                <w:szCs w:val="20"/>
              </w:rPr>
              <w:t xml:space="preserve"> (Recent)</w:t>
            </w:r>
          </w:p>
        </w:tc>
        <w:tc>
          <w:tcPr>
            <w:tcW w:w="1200" w:type="dxa"/>
            <w:tcBorders>
              <w:top w:val="single" w:sz="1" w:space="0" w:color="CBD5E0"/>
              <w:left w:val="single" w:sz="1" w:space="0" w:color="CBD5E0"/>
              <w:bottom w:val="single" w:sz="1" w:space="0" w:color="CBD5E0"/>
              <w:right w:val="single" w:sz="1" w:space="0" w:color="CBD5E0"/>
            </w:tcBorders>
            <w:shd w:val="clear" w:color="auto" w:fill="E6FFF9"/>
            <w:tcMar>
              <w:top w:w="80" w:type="dxa"/>
              <w:left w:w="120" w:type="dxa"/>
              <w:bottom w:w="80" w:type="dxa"/>
              <w:right w:w="120" w:type="dxa"/>
            </w:tcMar>
          </w:tcPr>
          <w:p w14:paraId="752BA741" w14:textId="77777777" w:rsidR="00AB52CF" w:rsidRDefault="00000000">
            <w:pPr>
              <w:jc w:val="center"/>
            </w:pPr>
            <w:r>
              <w:rPr>
                <w:b/>
                <w:bCs/>
                <w:color w:val="0A7B6C"/>
                <w:sz w:val="20"/>
                <w:szCs w:val="20"/>
              </w:rPr>
              <w:t>5.48</w:t>
            </w:r>
          </w:p>
        </w:tc>
        <w:tc>
          <w:tcPr>
            <w:tcW w:w="1200" w:type="dxa"/>
            <w:tcBorders>
              <w:top w:val="single" w:sz="1" w:space="0" w:color="CBD5E0"/>
              <w:left w:val="single" w:sz="1" w:space="0" w:color="CBD5E0"/>
              <w:bottom w:val="single" w:sz="1" w:space="0" w:color="CBD5E0"/>
              <w:right w:val="single" w:sz="1" w:space="0" w:color="CBD5E0"/>
            </w:tcBorders>
            <w:shd w:val="clear" w:color="auto" w:fill="E6FFF9"/>
            <w:tcMar>
              <w:top w:w="80" w:type="dxa"/>
              <w:left w:w="120" w:type="dxa"/>
              <w:bottom w:w="80" w:type="dxa"/>
              <w:right w:w="120" w:type="dxa"/>
            </w:tcMar>
          </w:tcPr>
          <w:p w14:paraId="26BC53D6" w14:textId="77777777" w:rsidR="00AB52CF" w:rsidRDefault="00000000">
            <w:pPr>
              <w:jc w:val="center"/>
            </w:pPr>
            <w:r>
              <w:rPr>
                <w:b/>
                <w:bCs/>
                <w:color w:val="0A7B6C"/>
                <w:sz w:val="20"/>
                <w:szCs w:val="20"/>
              </w:rPr>
              <w:t>7.12</w:t>
            </w:r>
          </w:p>
        </w:tc>
        <w:tc>
          <w:tcPr>
            <w:tcW w:w="1200" w:type="dxa"/>
            <w:tcBorders>
              <w:top w:val="single" w:sz="1" w:space="0" w:color="CBD5E0"/>
              <w:left w:val="single" w:sz="1" w:space="0" w:color="CBD5E0"/>
              <w:bottom w:val="single" w:sz="1" w:space="0" w:color="CBD5E0"/>
              <w:right w:val="single" w:sz="1" w:space="0" w:color="CBD5E0"/>
            </w:tcBorders>
            <w:shd w:val="clear" w:color="auto" w:fill="E6FFF9"/>
            <w:tcMar>
              <w:top w:w="80" w:type="dxa"/>
              <w:left w:w="120" w:type="dxa"/>
              <w:bottom w:w="80" w:type="dxa"/>
              <w:right w:w="120" w:type="dxa"/>
            </w:tcMar>
          </w:tcPr>
          <w:p w14:paraId="21E90FE3" w14:textId="77777777" w:rsidR="00AB52CF" w:rsidRDefault="00000000">
            <w:pPr>
              <w:jc w:val="center"/>
            </w:pPr>
            <w:r>
              <w:rPr>
                <w:b/>
                <w:bCs/>
                <w:color w:val="0A7B6C"/>
                <w:sz w:val="20"/>
                <w:szCs w:val="20"/>
              </w:rPr>
              <w:t>0.23%</w:t>
            </w:r>
          </w:p>
        </w:tc>
        <w:tc>
          <w:tcPr>
            <w:tcW w:w="1560" w:type="dxa"/>
            <w:tcBorders>
              <w:top w:val="single" w:sz="1" w:space="0" w:color="CBD5E0"/>
              <w:left w:val="single" w:sz="1" w:space="0" w:color="CBD5E0"/>
              <w:bottom w:val="single" w:sz="1" w:space="0" w:color="CBD5E0"/>
              <w:right w:val="single" w:sz="1" w:space="0" w:color="CBD5E0"/>
            </w:tcBorders>
            <w:shd w:val="clear" w:color="auto" w:fill="E6FFF9"/>
            <w:tcMar>
              <w:top w:w="80" w:type="dxa"/>
              <w:left w:w="120" w:type="dxa"/>
              <w:bottom w:w="80" w:type="dxa"/>
              <w:right w:w="120" w:type="dxa"/>
            </w:tcMar>
          </w:tcPr>
          <w:p w14:paraId="05133476" w14:textId="77777777" w:rsidR="00AB52CF" w:rsidRDefault="00000000">
            <w:pPr>
              <w:jc w:val="center"/>
            </w:pPr>
            <w:r>
              <w:rPr>
                <w:b/>
                <w:bCs/>
                <w:color w:val="0A7B6C"/>
                <w:sz w:val="20"/>
                <w:szCs w:val="20"/>
              </w:rPr>
              <w:t>✅ –9.6%</w:t>
            </w:r>
          </w:p>
        </w:tc>
      </w:tr>
      <w:tr w:rsidR="00AB52CF" w14:paraId="00562BB1" w14:textId="77777777">
        <w:tblPrEx>
          <w:tblCellMar>
            <w:top w:w="0" w:type="dxa"/>
            <w:bottom w:w="0" w:type="dxa"/>
          </w:tblCellMar>
        </w:tblPrEx>
        <w:tc>
          <w:tcPr>
            <w:tcW w:w="2800" w:type="dxa"/>
            <w:tcBorders>
              <w:top w:val="single" w:sz="1" w:space="0" w:color="CBD5E0"/>
              <w:left w:val="single" w:sz="1" w:space="0" w:color="CBD5E0"/>
              <w:bottom w:val="single" w:sz="1" w:space="0" w:color="CBD5E0"/>
              <w:right w:val="single" w:sz="1" w:space="0" w:color="CBD5E0"/>
            </w:tcBorders>
            <w:shd w:val="clear" w:color="auto" w:fill="F7FAFC"/>
            <w:tcMar>
              <w:top w:w="80" w:type="dxa"/>
              <w:left w:w="120" w:type="dxa"/>
              <w:bottom w:w="80" w:type="dxa"/>
              <w:right w:w="120" w:type="dxa"/>
            </w:tcMar>
          </w:tcPr>
          <w:p w14:paraId="6C52B935" w14:textId="77777777" w:rsidR="00AB52CF" w:rsidRDefault="00000000">
            <w:r>
              <w:rPr>
                <w:color w:val="0D1F3C"/>
                <w:sz w:val="20"/>
                <w:szCs w:val="20"/>
              </w:rPr>
              <w:t>Naïve Persistence</w:t>
            </w:r>
          </w:p>
        </w:tc>
        <w:tc>
          <w:tcPr>
            <w:tcW w:w="1200" w:type="dxa"/>
            <w:tcBorders>
              <w:top w:val="single" w:sz="1" w:space="0" w:color="CBD5E0"/>
              <w:left w:val="single" w:sz="1" w:space="0" w:color="CBD5E0"/>
              <w:bottom w:val="single" w:sz="1" w:space="0" w:color="CBD5E0"/>
              <w:right w:val="single" w:sz="1" w:space="0" w:color="CBD5E0"/>
            </w:tcBorders>
            <w:shd w:val="clear" w:color="auto" w:fill="F7FAFC"/>
            <w:tcMar>
              <w:top w:w="80" w:type="dxa"/>
              <w:left w:w="120" w:type="dxa"/>
              <w:bottom w:w="80" w:type="dxa"/>
              <w:right w:w="120" w:type="dxa"/>
            </w:tcMar>
          </w:tcPr>
          <w:p w14:paraId="3C98240F" w14:textId="77777777" w:rsidR="00AB52CF" w:rsidRDefault="00000000">
            <w:pPr>
              <w:jc w:val="center"/>
            </w:pPr>
            <w:r>
              <w:rPr>
                <w:sz w:val="20"/>
                <w:szCs w:val="20"/>
              </w:rPr>
              <w:t>6.06</w:t>
            </w:r>
          </w:p>
        </w:tc>
        <w:tc>
          <w:tcPr>
            <w:tcW w:w="1200" w:type="dxa"/>
            <w:tcBorders>
              <w:top w:val="single" w:sz="1" w:space="0" w:color="CBD5E0"/>
              <w:left w:val="single" w:sz="1" w:space="0" w:color="CBD5E0"/>
              <w:bottom w:val="single" w:sz="1" w:space="0" w:color="CBD5E0"/>
              <w:right w:val="single" w:sz="1" w:space="0" w:color="CBD5E0"/>
            </w:tcBorders>
            <w:shd w:val="clear" w:color="auto" w:fill="F7FAFC"/>
            <w:tcMar>
              <w:top w:w="80" w:type="dxa"/>
              <w:left w:w="120" w:type="dxa"/>
              <w:bottom w:w="80" w:type="dxa"/>
              <w:right w:w="120" w:type="dxa"/>
            </w:tcMar>
          </w:tcPr>
          <w:p w14:paraId="33AC2C64" w14:textId="77777777" w:rsidR="00AB52CF" w:rsidRDefault="00000000">
            <w:pPr>
              <w:jc w:val="center"/>
            </w:pPr>
            <w:r>
              <w:rPr>
                <w:sz w:val="20"/>
                <w:szCs w:val="20"/>
              </w:rPr>
              <w:t>7.24</w:t>
            </w:r>
          </w:p>
        </w:tc>
        <w:tc>
          <w:tcPr>
            <w:tcW w:w="1200" w:type="dxa"/>
            <w:tcBorders>
              <w:top w:val="single" w:sz="1" w:space="0" w:color="CBD5E0"/>
              <w:left w:val="single" w:sz="1" w:space="0" w:color="CBD5E0"/>
              <w:bottom w:val="single" w:sz="1" w:space="0" w:color="CBD5E0"/>
              <w:right w:val="single" w:sz="1" w:space="0" w:color="CBD5E0"/>
            </w:tcBorders>
            <w:shd w:val="clear" w:color="auto" w:fill="F7FAFC"/>
            <w:tcMar>
              <w:top w:w="80" w:type="dxa"/>
              <w:left w:w="120" w:type="dxa"/>
              <w:bottom w:w="80" w:type="dxa"/>
              <w:right w:w="120" w:type="dxa"/>
            </w:tcMar>
          </w:tcPr>
          <w:p w14:paraId="6F2FC31B" w14:textId="77777777" w:rsidR="00AB52CF" w:rsidRDefault="00000000">
            <w:pPr>
              <w:jc w:val="center"/>
            </w:pPr>
            <w:r>
              <w:rPr>
                <w:sz w:val="20"/>
                <w:szCs w:val="20"/>
              </w:rPr>
              <w:t>0.27%</w:t>
            </w:r>
          </w:p>
        </w:tc>
        <w:tc>
          <w:tcPr>
            <w:tcW w:w="1560" w:type="dxa"/>
            <w:tcBorders>
              <w:top w:val="single" w:sz="1" w:space="0" w:color="CBD5E0"/>
              <w:left w:val="single" w:sz="1" w:space="0" w:color="CBD5E0"/>
              <w:bottom w:val="single" w:sz="1" w:space="0" w:color="CBD5E0"/>
              <w:right w:val="single" w:sz="1" w:space="0" w:color="CBD5E0"/>
            </w:tcBorders>
            <w:shd w:val="clear" w:color="auto" w:fill="F7FAFC"/>
            <w:tcMar>
              <w:top w:w="80" w:type="dxa"/>
              <w:left w:w="120" w:type="dxa"/>
              <w:bottom w:w="80" w:type="dxa"/>
              <w:right w:w="120" w:type="dxa"/>
            </w:tcMar>
          </w:tcPr>
          <w:p w14:paraId="165CC74A" w14:textId="77777777" w:rsidR="00AB52CF" w:rsidRDefault="00000000">
            <w:pPr>
              <w:jc w:val="center"/>
            </w:pPr>
            <w:r>
              <w:rPr>
                <w:sz w:val="20"/>
                <w:szCs w:val="20"/>
              </w:rPr>
              <w:t>— baseline</w:t>
            </w:r>
          </w:p>
        </w:tc>
      </w:tr>
      <w:tr w:rsidR="00AB52CF" w14:paraId="4566327A" w14:textId="77777777">
        <w:tblPrEx>
          <w:tblCellMar>
            <w:top w:w="0" w:type="dxa"/>
            <w:bottom w:w="0" w:type="dxa"/>
          </w:tblCellMar>
        </w:tblPrEx>
        <w:tc>
          <w:tcPr>
            <w:tcW w:w="2800" w:type="dxa"/>
            <w:tcBorders>
              <w:top w:val="single" w:sz="1" w:space="0" w:color="CBD5E0"/>
              <w:left w:val="single" w:sz="1" w:space="0" w:color="CBD5E0"/>
              <w:bottom w:val="single" w:sz="1" w:space="0" w:color="CBD5E0"/>
              <w:right w:val="single" w:sz="1" w:space="0" w:color="CBD5E0"/>
            </w:tcBorders>
            <w:shd w:val="clear" w:color="auto" w:fill="FFFFFF"/>
            <w:tcMar>
              <w:top w:w="80" w:type="dxa"/>
              <w:left w:w="120" w:type="dxa"/>
              <w:bottom w:w="80" w:type="dxa"/>
              <w:right w:w="120" w:type="dxa"/>
            </w:tcMar>
          </w:tcPr>
          <w:p w14:paraId="04D6D58F" w14:textId="77777777" w:rsidR="00AB52CF" w:rsidRDefault="00000000">
            <w:r>
              <w:rPr>
                <w:color w:val="0D1F3C"/>
                <w:sz w:val="20"/>
                <w:szCs w:val="20"/>
              </w:rPr>
              <w:t>Random Forest (Recent)</w:t>
            </w:r>
          </w:p>
        </w:tc>
        <w:tc>
          <w:tcPr>
            <w:tcW w:w="1200" w:type="dxa"/>
            <w:tcBorders>
              <w:top w:val="single" w:sz="1" w:space="0" w:color="CBD5E0"/>
              <w:left w:val="single" w:sz="1" w:space="0" w:color="CBD5E0"/>
              <w:bottom w:val="single" w:sz="1" w:space="0" w:color="CBD5E0"/>
              <w:right w:val="single" w:sz="1" w:space="0" w:color="CBD5E0"/>
            </w:tcBorders>
            <w:shd w:val="clear" w:color="auto" w:fill="FFFFFF"/>
            <w:tcMar>
              <w:top w:w="80" w:type="dxa"/>
              <w:left w:w="120" w:type="dxa"/>
              <w:bottom w:w="80" w:type="dxa"/>
              <w:right w:w="120" w:type="dxa"/>
            </w:tcMar>
          </w:tcPr>
          <w:p w14:paraId="40CB8187" w14:textId="77777777" w:rsidR="00AB52CF" w:rsidRDefault="00000000">
            <w:pPr>
              <w:jc w:val="center"/>
            </w:pPr>
            <w:r>
              <w:rPr>
                <w:sz w:val="20"/>
                <w:szCs w:val="20"/>
              </w:rPr>
              <w:t>6.54</w:t>
            </w:r>
          </w:p>
        </w:tc>
        <w:tc>
          <w:tcPr>
            <w:tcW w:w="1200" w:type="dxa"/>
            <w:tcBorders>
              <w:top w:val="single" w:sz="1" w:space="0" w:color="CBD5E0"/>
              <w:left w:val="single" w:sz="1" w:space="0" w:color="CBD5E0"/>
              <w:bottom w:val="single" w:sz="1" w:space="0" w:color="CBD5E0"/>
              <w:right w:val="single" w:sz="1" w:space="0" w:color="CBD5E0"/>
            </w:tcBorders>
            <w:shd w:val="clear" w:color="auto" w:fill="FFFFFF"/>
            <w:tcMar>
              <w:top w:w="80" w:type="dxa"/>
              <w:left w:w="120" w:type="dxa"/>
              <w:bottom w:w="80" w:type="dxa"/>
              <w:right w:w="120" w:type="dxa"/>
            </w:tcMar>
          </w:tcPr>
          <w:p w14:paraId="5A34F131" w14:textId="77777777" w:rsidR="00AB52CF" w:rsidRDefault="00000000">
            <w:pPr>
              <w:jc w:val="center"/>
            </w:pPr>
            <w:r>
              <w:rPr>
                <w:sz w:val="20"/>
                <w:szCs w:val="20"/>
              </w:rPr>
              <w:t>8.44</w:t>
            </w:r>
          </w:p>
        </w:tc>
        <w:tc>
          <w:tcPr>
            <w:tcW w:w="1200" w:type="dxa"/>
            <w:tcBorders>
              <w:top w:val="single" w:sz="1" w:space="0" w:color="CBD5E0"/>
              <w:left w:val="single" w:sz="1" w:space="0" w:color="CBD5E0"/>
              <w:bottom w:val="single" w:sz="1" w:space="0" w:color="CBD5E0"/>
              <w:right w:val="single" w:sz="1" w:space="0" w:color="CBD5E0"/>
            </w:tcBorders>
            <w:shd w:val="clear" w:color="auto" w:fill="FFFFFF"/>
            <w:tcMar>
              <w:top w:w="80" w:type="dxa"/>
              <w:left w:w="120" w:type="dxa"/>
              <w:bottom w:w="80" w:type="dxa"/>
              <w:right w:w="120" w:type="dxa"/>
            </w:tcMar>
          </w:tcPr>
          <w:p w14:paraId="3C15D3FF" w14:textId="77777777" w:rsidR="00AB52CF" w:rsidRDefault="00000000">
            <w:pPr>
              <w:jc w:val="center"/>
            </w:pPr>
            <w:r>
              <w:rPr>
                <w:sz w:val="20"/>
                <w:szCs w:val="20"/>
              </w:rPr>
              <w:t>0.28%</w:t>
            </w:r>
          </w:p>
        </w:tc>
        <w:tc>
          <w:tcPr>
            <w:tcW w:w="1560" w:type="dxa"/>
            <w:tcBorders>
              <w:top w:val="single" w:sz="1" w:space="0" w:color="CBD5E0"/>
              <w:left w:val="single" w:sz="1" w:space="0" w:color="CBD5E0"/>
              <w:bottom w:val="single" w:sz="1" w:space="0" w:color="CBD5E0"/>
              <w:right w:val="single" w:sz="1" w:space="0" w:color="CBD5E0"/>
            </w:tcBorders>
            <w:shd w:val="clear" w:color="auto" w:fill="FFFFFF"/>
            <w:tcMar>
              <w:top w:w="80" w:type="dxa"/>
              <w:left w:w="120" w:type="dxa"/>
              <w:bottom w:w="80" w:type="dxa"/>
              <w:right w:w="120" w:type="dxa"/>
            </w:tcMar>
          </w:tcPr>
          <w:p w14:paraId="2C72A665" w14:textId="77777777" w:rsidR="00AB52CF" w:rsidRDefault="00000000">
            <w:pPr>
              <w:jc w:val="center"/>
            </w:pPr>
            <w:r>
              <w:rPr>
                <w:sz w:val="20"/>
                <w:szCs w:val="20"/>
              </w:rPr>
              <w:t>❌ +7.9%</w:t>
            </w:r>
          </w:p>
        </w:tc>
      </w:tr>
      <w:tr w:rsidR="00AB52CF" w14:paraId="5301DE05" w14:textId="77777777">
        <w:tblPrEx>
          <w:tblCellMar>
            <w:top w:w="0" w:type="dxa"/>
            <w:bottom w:w="0" w:type="dxa"/>
          </w:tblCellMar>
        </w:tblPrEx>
        <w:tc>
          <w:tcPr>
            <w:tcW w:w="2800" w:type="dxa"/>
            <w:tcBorders>
              <w:top w:val="single" w:sz="1" w:space="0" w:color="CBD5E0"/>
              <w:left w:val="single" w:sz="1" w:space="0" w:color="CBD5E0"/>
              <w:bottom w:val="single" w:sz="1" w:space="0" w:color="CBD5E0"/>
              <w:right w:val="single" w:sz="1" w:space="0" w:color="CBD5E0"/>
            </w:tcBorders>
            <w:shd w:val="clear" w:color="auto" w:fill="F7FAFC"/>
            <w:tcMar>
              <w:top w:w="80" w:type="dxa"/>
              <w:left w:w="120" w:type="dxa"/>
              <w:bottom w:w="80" w:type="dxa"/>
              <w:right w:w="120" w:type="dxa"/>
            </w:tcMar>
          </w:tcPr>
          <w:p w14:paraId="7CAB5E97" w14:textId="77777777" w:rsidR="00AB52CF" w:rsidRDefault="00000000">
            <w:r>
              <w:rPr>
                <w:color w:val="0D1F3C"/>
                <w:sz w:val="20"/>
                <w:szCs w:val="20"/>
              </w:rPr>
              <w:t>Linear Regression (Recent)</w:t>
            </w:r>
          </w:p>
        </w:tc>
        <w:tc>
          <w:tcPr>
            <w:tcW w:w="1200" w:type="dxa"/>
            <w:tcBorders>
              <w:top w:val="single" w:sz="1" w:space="0" w:color="CBD5E0"/>
              <w:left w:val="single" w:sz="1" w:space="0" w:color="CBD5E0"/>
              <w:bottom w:val="single" w:sz="1" w:space="0" w:color="CBD5E0"/>
              <w:right w:val="single" w:sz="1" w:space="0" w:color="CBD5E0"/>
            </w:tcBorders>
            <w:shd w:val="clear" w:color="auto" w:fill="F7FAFC"/>
            <w:tcMar>
              <w:top w:w="80" w:type="dxa"/>
              <w:left w:w="120" w:type="dxa"/>
              <w:bottom w:w="80" w:type="dxa"/>
              <w:right w:w="120" w:type="dxa"/>
            </w:tcMar>
          </w:tcPr>
          <w:p w14:paraId="5558B2C0" w14:textId="77777777" w:rsidR="00AB52CF" w:rsidRDefault="00000000">
            <w:pPr>
              <w:jc w:val="center"/>
            </w:pPr>
            <w:r>
              <w:rPr>
                <w:sz w:val="20"/>
                <w:szCs w:val="20"/>
              </w:rPr>
              <w:t>7.48</w:t>
            </w:r>
          </w:p>
        </w:tc>
        <w:tc>
          <w:tcPr>
            <w:tcW w:w="1200" w:type="dxa"/>
            <w:tcBorders>
              <w:top w:val="single" w:sz="1" w:space="0" w:color="CBD5E0"/>
              <w:left w:val="single" w:sz="1" w:space="0" w:color="CBD5E0"/>
              <w:bottom w:val="single" w:sz="1" w:space="0" w:color="CBD5E0"/>
              <w:right w:val="single" w:sz="1" w:space="0" w:color="CBD5E0"/>
            </w:tcBorders>
            <w:shd w:val="clear" w:color="auto" w:fill="F7FAFC"/>
            <w:tcMar>
              <w:top w:w="80" w:type="dxa"/>
              <w:left w:w="120" w:type="dxa"/>
              <w:bottom w:w="80" w:type="dxa"/>
              <w:right w:w="120" w:type="dxa"/>
            </w:tcMar>
          </w:tcPr>
          <w:p w14:paraId="46CE5F2B" w14:textId="77777777" w:rsidR="00AB52CF" w:rsidRDefault="00000000">
            <w:pPr>
              <w:jc w:val="center"/>
            </w:pPr>
            <w:r>
              <w:rPr>
                <w:sz w:val="20"/>
                <w:szCs w:val="20"/>
              </w:rPr>
              <w:t>8.86</w:t>
            </w:r>
          </w:p>
        </w:tc>
        <w:tc>
          <w:tcPr>
            <w:tcW w:w="1200" w:type="dxa"/>
            <w:tcBorders>
              <w:top w:val="single" w:sz="1" w:space="0" w:color="CBD5E0"/>
              <w:left w:val="single" w:sz="1" w:space="0" w:color="CBD5E0"/>
              <w:bottom w:val="single" w:sz="1" w:space="0" w:color="CBD5E0"/>
              <w:right w:val="single" w:sz="1" w:space="0" w:color="CBD5E0"/>
            </w:tcBorders>
            <w:shd w:val="clear" w:color="auto" w:fill="F7FAFC"/>
            <w:tcMar>
              <w:top w:w="80" w:type="dxa"/>
              <w:left w:w="120" w:type="dxa"/>
              <w:bottom w:w="80" w:type="dxa"/>
              <w:right w:w="120" w:type="dxa"/>
            </w:tcMar>
          </w:tcPr>
          <w:p w14:paraId="7625D247" w14:textId="77777777" w:rsidR="00AB52CF" w:rsidRDefault="00000000">
            <w:pPr>
              <w:jc w:val="center"/>
            </w:pPr>
            <w:r>
              <w:rPr>
                <w:sz w:val="20"/>
                <w:szCs w:val="20"/>
              </w:rPr>
              <w:t>0.31%</w:t>
            </w:r>
          </w:p>
        </w:tc>
        <w:tc>
          <w:tcPr>
            <w:tcW w:w="1560" w:type="dxa"/>
            <w:tcBorders>
              <w:top w:val="single" w:sz="1" w:space="0" w:color="CBD5E0"/>
              <w:left w:val="single" w:sz="1" w:space="0" w:color="CBD5E0"/>
              <w:bottom w:val="single" w:sz="1" w:space="0" w:color="CBD5E0"/>
              <w:right w:val="single" w:sz="1" w:space="0" w:color="CBD5E0"/>
            </w:tcBorders>
            <w:shd w:val="clear" w:color="auto" w:fill="F7FAFC"/>
            <w:tcMar>
              <w:top w:w="80" w:type="dxa"/>
              <w:left w:w="120" w:type="dxa"/>
              <w:bottom w:w="80" w:type="dxa"/>
              <w:right w:w="120" w:type="dxa"/>
            </w:tcMar>
          </w:tcPr>
          <w:p w14:paraId="2400EFF2" w14:textId="77777777" w:rsidR="00AB52CF" w:rsidRDefault="00000000">
            <w:pPr>
              <w:jc w:val="center"/>
            </w:pPr>
            <w:r>
              <w:rPr>
                <w:sz w:val="20"/>
                <w:szCs w:val="20"/>
              </w:rPr>
              <w:t>❌ +23.4%</w:t>
            </w:r>
          </w:p>
        </w:tc>
      </w:tr>
      <w:tr w:rsidR="00AB52CF" w14:paraId="08A1B47C" w14:textId="77777777">
        <w:tblPrEx>
          <w:tblCellMar>
            <w:top w:w="0" w:type="dxa"/>
            <w:bottom w:w="0" w:type="dxa"/>
          </w:tblCellMar>
        </w:tblPrEx>
        <w:tc>
          <w:tcPr>
            <w:tcW w:w="2800" w:type="dxa"/>
            <w:tcBorders>
              <w:top w:val="single" w:sz="1" w:space="0" w:color="CBD5E0"/>
              <w:left w:val="single" w:sz="1" w:space="0" w:color="CBD5E0"/>
              <w:bottom w:val="single" w:sz="1" w:space="0" w:color="CBD5E0"/>
              <w:right w:val="single" w:sz="1" w:space="0" w:color="CBD5E0"/>
            </w:tcBorders>
            <w:shd w:val="clear" w:color="auto" w:fill="FFFFFF"/>
            <w:tcMar>
              <w:top w:w="80" w:type="dxa"/>
              <w:left w:w="120" w:type="dxa"/>
              <w:bottom w:w="80" w:type="dxa"/>
              <w:right w:w="120" w:type="dxa"/>
            </w:tcMar>
          </w:tcPr>
          <w:p w14:paraId="09AF4E1F" w14:textId="77777777" w:rsidR="00AB52CF" w:rsidRDefault="00000000">
            <w:r>
              <w:rPr>
                <w:color w:val="0D1F3C"/>
                <w:sz w:val="20"/>
                <w:szCs w:val="20"/>
              </w:rPr>
              <w:t>Moving Average (w=3)</w:t>
            </w:r>
          </w:p>
        </w:tc>
        <w:tc>
          <w:tcPr>
            <w:tcW w:w="1200" w:type="dxa"/>
            <w:tcBorders>
              <w:top w:val="single" w:sz="1" w:space="0" w:color="CBD5E0"/>
              <w:left w:val="single" w:sz="1" w:space="0" w:color="CBD5E0"/>
              <w:bottom w:val="single" w:sz="1" w:space="0" w:color="CBD5E0"/>
              <w:right w:val="single" w:sz="1" w:space="0" w:color="CBD5E0"/>
            </w:tcBorders>
            <w:shd w:val="clear" w:color="auto" w:fill="FFFFFF"/>
            <w:tcMar>
              <w:top w:w="80" w:type="dxa"/>
              <w:left w:w="120" w:type="dxa"/>
              <w:bottom w:w="80" w:type="dxa"/>
              <w:right w:w="120" w:type="dxa"/>
            </w:tcMar>
          </w:tcPr>
          <w:p w14:paraId="2554A8BF" w14:textId="77777777" w:rsidR="00AB52CF" w:rsidRDefault="00000000">
            <w:pPr>
              <w:jc w:val="center"/>
            </w:pPr>
            <w:r>
              <w:rPr>
                <w:sz w:val="20"/>
                <w:szCs w:val="20"/>
              </w:rPr>
              <w:t>9.76</w:t>
            </w:r>
          </w:p>
        </w:tc>
        <w:tc>
          <w:tcPr>
            <w:tcW w:w="1200" w:type="dxa"/>
            <w:tcBorders>
              <w:top w:val="single" w:sz="1" w:space="0" w:color="CBD5E0"/>
              <w:left w:val="single" w:sz="1" w:space="0" w:color="CBD5E0"/>
              <w:bottom w:val="single" w:sz="1" w:space="0" w:color="CBD5E0"/>
              <w:right w:val="single" w:sz="1" w:space="0" w:color="CBD5E0"/>
            </w:tcBorders>
            <w:shd w:val="clear" w:color="auto" w:fill="FFFFFF"/>
            <w:tcMar>
              <w:top w:w="80" w:type="dxa"/>
              <w:left w:w="120" w:type="dxa"/>
              <w:bottom w:w="80" w:type="dxa"/>
              <w:right w:w="120" w:type="dxa"/>
            </w:tcMar>
          </w:tcPr>
          <w:p w14:paraId="3BDA64AE" w14:textId="77777777" w:rsidR="00AB52CF" w:rsidRDefault="00000000">
            <w:pPr>
              <w:jc w:val="center"/>
            </w:pPr>
            <w:r>
              <w:rPr>
                <w:sz w:val="20"/>
                <w:szCs w:val="20"/>
              </w:rPr>
              <w:t>11.77</w:t>
            </w:r>
          </w:p>
        </w:tc>
        <w:tc>
          <w:tcPr>
            <w:tcW w:w="1200" w:type="dxa"/>
            <w:tcBorders>
              <w:top w:val="single" w:sz="1" w:space="0" w:color="CBD5E0"/>
              <w:left w:val="single" w:sz="1" w:space="0" w:color="CBD5E0"/>
              <w:bottom w:val="single" w:sz="1" w:space="0" w:color="CBD5E0"/>
              <w:right w:val="single" w:sz="1" w:space="0" w:color="CBD5E0"/>
            </w:tcBorders>
            <w:shd w:val="clear" w:color="auto" w:fill="FFFFFF"/>
            <w:tcMar>
              <w:top w:w="80" w:type="dxa"/>
              <w:left w:w="120" w:type="dxa"/>
              <w:bottom w:w="80" w:type="dxa"/>
              <w:right w:w="120" w:type="dxa"/>
            </w:tcMar>
          </w:tcPr>
          <w:p w14:paraId="44553104" w14:textId="77777777" w:rsidR="00AB52CF" w:rsidRDefault="00000000">
            <w:pPr>
              <w:jc w:val="center"/>
            </w:pPr>
            <w:r>
              <w:rPr>
                <w:sz w:val="20"/>
                <w:szCs w:val="20"/>
              </w:rPr>
              <w:t>0.43%</w:t>
            </w:r>
          </w:p>
        </w:tc>
        <w:tc>
          <w:tcPr>
            <w:tcW w:w="1560" w:type="dxa"/>
            <w:tcBorders>
              <w:top w:val="single" w:sz="1" w:space="0" w:color="CBD5E0"/>
              <w:left w:val="single" w:sz="1" w:space="0" w:color="CBD5E0"/>
              <w:bottom w:val="single" w:sz="1" w:space="0" w:color="CBD5E0"/>
              <w:right w:val="single" w:sz="1" w:space="0" w:color="CBD5E0"/>
            </w:tcBorders>
            <w:shd w:val="clear" w:color="auto" w:fill="FFFFFF"/>
            <w:tcMar>
              <w:top w:w="80" w:type="dxa"/>
              <w:left w:w="120" w:type="dxa"/>
              <w:bottom w:w="80" w:type="dxa"/>
              <w:right w:w="120" w:type="dxa"/>
            </w:tcMar>
          </w:tcPr>
          <w:p w14:paraId="13463D13" w14:textId="77777777" w:rsidR="00AB52CF" w:rsidRDefault="00000000">
            <w:pPr>
              <w:jc w:val="center"/>
            </w:pPr>
            <w:r>
              <w:rPr>
                <w:sz w:val="20"/>
                <w:szCs w:val="20"/>
              </w:rPr>
              <w:t>❌ +61.1%</w:t>
            </w:r>
          </w:p>
        </w:tc>
      </w:tr>
      <w:tr w:rsidR="00AB52CF" w14:paraId="29688CDE" w14:textId="77777777">
        <w:tblPrEx>
          <w:tblCellMar>
            <w:top w:w="0" w:type="dxa"/>
            <w:bottom w:w="0" w:type="dxa"/>
          </w:tblCellMar>
        </w:tblPrEx>
        <w:tc>
          <w:tcPr>
            <w:tcW w:w="2800" w:type="dxa"/>
            <w:tcBorders>
              <w:top w:val="single" w:sz="1" w:space="0" w:color="CBD5E0"/>
              <w:left w:val="single" w:sz="1" w:space="0" w:color="CBD5E0"/>
              <w:bottom w:val="single" w:sz="1" w:space="0" w:color="CBD5E0"/>
              <w:right w:val="single" w:sz="1" w:space="0" w:color="CBD5E0"/>
            </w:tcBorders>
            <w:shd w:val="clear" w:color="auto" w:fill="F7FAFC"/>
            <w:tcMar>
              <w:top w:w="80" w:type="dxa"/>
              <w:left w:w="120" w:type="dxa"/>
              <w:bottom w:w="80" w:type="dxa"/>
              <w:right w:w="120" w:type="dxa"/>
            </w:tcMar>
          </w:tcPr>
          <w:p w14:paraId="3E959D76" w14:textId="77777777" w:rsidR="00AB52CF" w:rsidRDefault="00000000">
            <w:r>
              <w:rPr>
                <w:color w:val="0D1F3C"/>
                <w:sz w:val="20"/>
                <w:szCs w:val="20"/>
              </w:rPr>
              <w:t>Ridge Regression (Recent)</w:t>
            </w:r>
          </w:p>
        </w:tc>
        <w:tc>
          <w:tcPr>
            <w:tcW w:w="1200" w:type="dxa"/>
            <w:tcBorders>
              <w:top w:val="single" w:sz="1" w:space="0" w:color="CBD5E0"/>
              <w:left w:val="single" w:sz="1" w:space="0" w:color="CBD5E0"/>
              <w:bottom w:val="single" w:sz="1" w:space="0" w:color="CBD5E0"/>
              <w:right w:val="single" w:sz="1" w:space="0" w:color="CBD5E0"/>
            </w:tcBorders>
            <w:shd w:val="clear" w:color="auto" w:fill="F7FAFC"/>
            <w:tcMar>
              <w:top w:w="80" w:type="dxa"/>
              <w:left w:w="120" w:type="dxa"/>
              <w:bottom w:w="80" w:type="dxa"/>
              <w:right w:w="120" w:type="dxa"/>
            </w:tcMar>
          </w:tcPr>
          <w:p w14:paraId="0CC69C59" w14:textId="77777777" w:rsidR="00AB52CF" w:rsidRDefault="00000000">
            <w:pPr>
              <w:jc w:val="center"/>
            </w:pPr>
            <w:r>
              <w:rPr>
                <w:sz w:val="20"/>
                <w:szCs w:val="20"/>
              </w:rPr>
              <w:t>17.80</w:t>
            </w:r>
          </w:p>
        </w:tc>
        <w:tc>
          <w:tcPr>
            <w:tcW w:w="1200" w:type="dxa"/>
            <w:tcBorders>
              <w:top w:val="single" w:sz="1" w:space="0" w:color="CBD5E0"/>
              <w:left w:val="single" w:sz="1" w:space="0" w:color="CBD5E0"/>
              <w:bottom w:val="single" w:sz="1" w:space="0" w:color="CBD5E0"/>
              <w:right w:val="single" w:sz="1" w:space="0" w:color="CBD5E0"/>
            </w:tcBorders>
            <w:shd w:val="clear" w:color="auto" w:fill="F7FAFC"/>
            <w:tcMar>
              <w:top w:w="80" w:type="dxa"/>
              <w:left w:w="120" w:type="dxa"/>
              <w:bottom w:w="80" w:type="dxa"/>
              <w:right w:w="120" w:type="dxa"/>
            </w:tcMar>
          </w:tcPr>
          <w:p w14:paraId="3A68CC10" w14:textId="77777777" w:rsidR="00AB52CF" w:rsidRDefault="00000000">
            <w:pPr>
              <w:jc w:val="center"/>
            </w:pPr>
            <w:r>
              <w:rPr>
                <w:sz w:val="20"/>
                <w:szCs w:val="20"/>
              </w:rPr>
              <w:t>22.80</w:t>
            </w:r>
          </w:p>
        </w:tc>
        <w:tc>
          <w:tcPr>
            <w:tcW w:w="1200" w:type="dxa"/>
            <w:tcBorders>
              <w:top w:val="single" w:sz="1" w:space="0" w:color="CBD5E0"/>
              <w:left w:val="single" w:sz="1" w:space="0" w:color="CBD5E0"/>
              <w:bottom w:val="single" w:sz="1" w:space="0" w:color="CBD5E0"/>
              <w:right w:val="single" w:sz="1" w:space="0" w:color="CBD5E0"/>
            </w:tcBorders>
            <w:shd w:val="clear" w:color="auto" w:fill="F7FAFC"/>
            <w:tcMar>
              <w:top w:w="80" w:type="dxa"/>
              <w:left w:w="120" w:type="dxa"/>
              <w:bottom w:w="80" w:type="dxa"/>
              <w:right w:w="120" w:type="dxa"/>
            </w:tcMar>
          </w:tcPr>
          <w:p w14:paraId="61695176" w14:textId="77777777" w:rsidR="00AB52CF" w:rsidRDefault="00000000">
            <w:pPr>
              <w:jc w:val="center"/>
            </w:pPr>
            <w:r>
              <w:rPr>
                <w:sz w:val="20"/>
                <w:szCs w:val="20"/>
              </w:rPr>
              <w:t>0.74%</w:t>
            </w:r>
          </w:p>
        </w:tc>
        <w:tc>
          <w:tcPr>
            <w:tcW w:w="1560" w:type="dxa"/>
            <w:tcBorders>
              <w:top w:val="single" w:sz="1" w:space="0" w:color="CBD5E0"/>
              <w:left w:val="single" w:sz="1" w:space="0" w:color="CBD5E0"/>
              <w:bottom w:val="single" w:sz="1" w:space="0" w:color="CBD5E0"/>
              <w:right w:val="single" w:sz="1" w:space="0" w:color="CBD5E0"/>
            </w:tcBorders>
            <w:shd w:val="clear" w:color="auto" w:fill="F7FAFC"/>
            <w:tcMar>
              <w:top w:w="80" w:type="dxa"/>
              <w:left w:w="120" w:type="dxa"/>
              <w:bottom w:w="80" w:type="dxa"/>
              <w:right w:w="120" w:type="dxa"/>
            </w:tcMar>
          </w:tcPr>
          <w:p w14:paraId="2066F8EE" w14:textId="77777777" w:rsidR="00AB52CF" w:rsidRDefault="00000000">
            <w:pPr>
              <w:jc w:val="center"/>
            </w:pPr>
            <w:r>
              <w:rPr>
                <w:sz w:val="20"/>
                <w:szCs w:val="20"/>
              </w:rPr>
              <w:t>❌ +193.7%</w:t>
            </w:r>
          </w:p>
        </w:tc>
      </w:tr>
      <w:tr w:rsidR="00AB52CF" w14:paraId="17E40FBB" w14:textId="77777777">
        <w:tblPrEx>
          <w:tblCellMar>
            <w:top w:w="0" w:type="dxa"/>
            <w:bottom w:w="0" w:type="dxa"/>
          </w:tblCellMar>
        </w:tblPrEx>
        <w:tc>
          <w:tcPr>
            <w:tcW w:w="2800" w:type="dxa"/>
            <w:tcBorders>
              <w:top w:val="single" w:sz="1" w:space="0" w:color="CBD5E0"/>
              <w:left w:val="single" w:sz="1" w:space="0" w:color="CBD5E0"/>
              <w:bottom w:val="single" w:sz="1" w:space="0" w:color="CBD5E0"/>
              <w:right w:val="single" w:sz="1" w:space="0" w:color="CBD5E0"/>
            </w:tcBorders>
            <w:shd w:val="clear" w:color="auto" w:fill="FFFFFF"/>
            <w:tcMar>
              <w:top w:w="80" w:type="dxa"/>
              <w:left w:w="120" w:type="dxa"/>
              <w:bottom w:w="80" w:type="dxa"/>
              <w:right w:w="120" w:type="dxa"/>
            </w:tcMar>
          </w:tcPr>
          <w:p w14:paraId="2AF0E24A" w14:textId="77777777" w:rsidR="00AB52CF" w:rsidRDefault="00000000">
            <w:r>
              <w:rPr>
                <w:color w:val="0D1F3C"/>
                <w:sz w:val="20"/>
                <w:szCs w:val="20"/>
              </w:rPr>
              <w:t>Exponential Smoothing</w:t>
            </w:r>
          </w:p>
        </w:tc>
        <w:tc>
          <w:tcPr>
            <w:tcW w:w="1200" w:type="dxa"/>
            <w:tcBorders>
              <w:top w:val="single" w:sz="1" w:space="0" w:color="CBD5E0"/>
              <w:left w:val="single" w:sz="1" w:space="0" w:color="CBD5E0"/>
              <w:bottom w:val="single" w:sz="1" w:space="0" w:color="CBD5E0"/>
              <w:right w:val="single" w:sz="1" w:space="0" w:color="CBD5E0"/>
            </w:tcBorders>
            <w:shd w:val="clear" w:color="auto" w:fill="FFFFFF"/>
            <w:tcMar>
              <w:top w:w="80" w:type="dxa"/>
              <w:left w:w="120" w:type="dxa"/>
              <w:bottom w:w="80" w:type="dxa"/>
              <w:right w:w="120" w:type="dxa"/>
            </w:tcMar>
          </w:tcPr>
          <w:p w14:paraId="7625E8DA" w14:textId="77777777" w:rsidR="00AB52CF" w:rsidRDefault="00000000">
            <w:pPr>
              <w:jc w:val="center"/>
            </w:pPr>
            <w:r>
              <w:rPr>
                <w:sz w:val="20"/>
                <w:szCs w:val="20"/>
              </w:rPr>
              <w:t>86.69</w:t>
            </w:r>
          </w:p>
        </w:tc>
        <w:tc>
          <w:tcPr>
            <w:tcW w:w="1200" w:type="dxa"/>
            <w:tcBorders>
              <w:top w:val="single" w:sz="1" w:space="0" w:color="CBD5E0"/>
              <w:left w:val="single" w:sz="1" w:space="0" w:color="CBD5E0"/>
              <w:bottom w:val="single" w:sz="1" w:space="0" w:color="CBD5E0"/>
              <w:right w:val="single" w:sz="1" w:space="0" w:color="CBD5E0"/>
            </w:tcBorders>
            <w:shd w:val="clear" w:color="auto" w:fill="FFFFFF"/>
            <w:tcMar>
              <w:top w:w="80" w:type="dxa"/>
              <w:left w:w="120" w:type="dxa"/>
              <w:bottom w:w="80" w:type="dxa"/>
              <w:right w:w="120" w:type="dxa"/>
            </w:tcMar>
          </w:tcPr>
          <w:p w14:paraId="2762E756" w14:textId="77777777" w:rsidR="00AB52CF" w:rsidRDefault="00000000">
            <w:pPr>
              <w:jc w:val="center"/>
            </w:pPr>
            <w:r>
              <w:rPr>
                <w:sz w:val="20"/>
                <w:szCs w:val="20"/>
              </w:rPr>
              <w:t>97.40</w:t>
            </w:r>
          </w:p>
        </w:tc>
        <w:tc>
          <w:tcPr>
            <w:tcW w:w="1200" w:type="dxa"/>
            <w:tcBorders>
              <w:top w:val="single" w:sz="1" w:space="0" w:color="CBD5E0"/>
              <w:left w:val="single" w:sz="1" w:space="0" w:color="CBD5E0"/>
              <w:bottom w:val="single" w:sz="1" w:space="0" w:color="CBD5E0"/>
              <w:right w:val="single" w:sz="1" w:space="0" w:color="CBD5E0"/>
            </w:tcBorders>
            <w:shd w:val="clear" w:color="auto" w:fill="FFFFFF"/>
            <w:tcMar>
              <w:top w:w="80" w:type="dxa"/>
              <w:left w:w="120" w:type="dxa"/>
              <w:bottom w:w="80" w:type="dxa"/>
              <w:right w:w="120" w:type="dxa"/>
            </w:tcMar>
          </w:tcPr>
          <w:p w14:paraId="185196B3" w14:textId="77777777" w:rsidR="00AB52CF" w:rsidRDefault="00000000">
            <w:pPr>
              <w:jc w:val="center"/>
            </w:pPr>
            <w:r>
              <w:rPr>
                <w:sz w:val="20"/>
                <w:szCs w:val="20"/>
              </w:rPr>
              <w:t>3.74%</w:t>
            </w:r>
          </w:p>
        </w:tc>
        <w:tc>
          <w:tcPr>
            <w:tcW w:w="1560" w:type="dxa"/>
            <w:tcBorders>
              <w:top w:val="single" w:sz="1" w:space="0" w:color="CBD5E0"/>
              <w:left w:val="single" w:sz="1" w:space="0" w:color="CBD5E0"/>
              <w:bottom w:val="single" w:sz="1" w:space="0" w:color="CBD5E0"/>
              <w:right w:val="single" w:sz="1" w:space="0" w:color="CBD5E0"/>
            </w:tcBorders>
            <w:shd w:val="clear" w:color="auto" w:fill="FFFFFF"/>
            <w:tcMar>
              <w:top w:w="80" w:type="dxa"/>
              <w:left w:w="120" w:type="dxa"/>
              <w:bottom w:w="80" w:type="dxa"/>
              <w:right w:w="120" w:type="dxa"/>
            </w:tcMar>
          </w:tcPr>
          <w:p w14:paraId="0D0F1D4F" w14:textId="77777777" w:rsidR="00AB52CF" w:rsidRDefault="00000000">
            <w:pPr>
              <w:jc w:val="center"/>
            </w:pPr>
            <w:r>
              <w:rPr>
                <w:sz w:val="20"/>
                <w:szCs w:val="20"/>
              </w:rPr>
              <w:t>❌ +14.3×</w:t>
            </w:r>
          </w:p>
        </w:tc>
      </w:tr>
      <w:tr w:rsidR="00AB52CF" w14:paraId="0553F08A" w14:textId="77777777">
        <w:tblPrEx>
          <w:tblCellMar>
            <w:top w:w="0" w:type="dxa"/>
            <w:bottom w:w="0" w:type="dxa"/>
          </w:tblCellMar>
        </w:tblPrEx>
        <w:tc>
          <w:tcPr>
            <w:tcW w:w="2800" w:type="dxa"/>
            <w:tcBorders>
              <w:top w:val="single" w:sz="1" w:space="0" w:color="CBD5E0"/>
              <w:left w:val="single" w:sz="1" w:space="0" w:color="CBD5E0"/>
              <w:bottom w:val="single" w:sz="1" w:space="0" w:color="CBD5E0"/>
              <w:right w:val="single" w:sz="1" w:space="0" w:color="CBD5E0"/>
            </w:tcBorders>
            <w:shd w:val="clear" w:color="auto" w:fill="F7FAFC"/>
            <w:tcMar>
              <w:top w:w="80" w:type="dxa"/>
              <w:left w:w="120" w:type="dxa"/>
              <w:bottom w:w="80" w:type="dxa"/>
              <w:right w:w="120" w:type="dxa"/>
            </w:tcMar>
          </w:tcPr>
          <w:p w14:paraId="233C3CF8" w14:textId="77777777" w:rsidR="00AB52CF" w:rsidRDefault="00000000">
            <w:proofErr w:type="gramStart"/>
            <w:r>
              <w:rPr>
                <w:color w:val="0D1F3C"/>
                <w:sz w:val="20"/>
                <w:szCs w:val="20"/>
              </w:rPr>
              <w:t>ARIMA(</w:t>
            </w:r>
            <w:proofErr w:type="gramEnd"/>
            <w:r>
              <w:rPr>
                <w:color w:val="0D1F3C"/>
                <w:sz w:val="20"/>
                <w:szCs w:val="20"/>
              </w:rPr>
              <w:t>3,1,3)</w:t>
            </w:r>
          </w:p>
        </w:tc>
        <w:tc>
          <w:tcPr>
            <w:tcW w:w="1200" w:type="dxa"/>
            <w:tcBorders>
              <w:top w:val="single" w:sz="1" w:space="0" w:color="CBD5E0"/>
              <w:left w:val="single" w:sz="1" w:space="0" w:color="CBD5E0"/>
              <w:bottom w:val="single" w:sz="1" w:space="0" w:color="CBD5E0"/>
              <w:right w:val="single" w:sz="1" w:space="0" w:color="CBD5E0"/>
            </w:tcBorders>
            <w:shd w:val="clear" w:color="auto" w:fill="F7FAFC"/>
            <w:tcMar>
              <w:top w:w="80" w:type="dxa"/>
              <w:left w:w="120" w:type="dxa"/>
              <w:bottom w:w="80" w:type="dxa"/>
              <w:right w:w="120" w:type="dxa"/>
            </w:tcMar>
          </w:tcPr>
          <w:p w14:paraId="58FBCD3C" w14:textId="77777777" w:rsidR="00AB52CF" w:rsidRDefault="00000000">
            <w:pPr>
              <w:jc w:val="center"/>
            </w:pPr>
            <w:r>
              <w:rPr>
                <w:sz w:val="20"/>
                <w:szCs w:val="20"/>
              </w:rPr>
              <w:t>144.35</w:t>
            </w:r>
          </w:p>
        </w:tc>
        <w:tc>
          <w:tcPr>
            <w:tcW w:w="1200" w:type="dxa"/>
            <w:tcBorders>
              <w:top w:val="single" w:sz="1" w:space="0" w:color="CBD5E0"/>
              <w:left w:val="single" w:sz="1" w:space="0" w:color="CBD5E0"/>
              <w:bottom w:val="single" w:sz="1" w:space="0" w:color="CBD5E0"/>
              <w:right w:val="single" w:sz="1" w:space="0" w:color="CBD5E0"/>
            </w:tcBorders>
            <w:shd w:val="clear" w:color="auto" w:fill="F7FAFC"/>
            <w:tcMar>
              <w:top w:w="80" w:type="dxa"/>
              <w:left w:w="120" w:type="dxa"/>
              <w:bottom w:w="80" w:type="dxa"/>
              <w:right w:w="120" w:type="dxa"/>
            </w:tcMar>
          </w:tcPr>
          <w:p w14:paraId="4EFD5A27" w14:textId="77777777" w:rsidR="00AB52CF" w:rsidRDefault="00000000">
            <w:pPr>
              <w:jc w:val="center"/>
            </w:pPr>
            <w:r>
              <w:rPr>
                <w:sz w:val="20"/>
                <w:szCs w:val="20"/>
              </w:rPr>
              <w:t>161.63</w:t>
            </w:r>
          </w:p>
        </w:tc>
        <w:tc>
          <w:tcPr>
            <w:tcW w:w="1200" w:type="dxa"/>
            <w:tcBorders>
              <w:top w:val="single" w:sz="1" w:space="0" w:color="CBD5E0"/>
              <w:left w:val="single" w:sz="1" w:space="0" w:color="CBD5E0"/>
              <w:bottom w:val="single" w:sz="1" w:space="0" w:color="CBD5E0"/>
              <w:right w:val="single" w:sz="1" w:space="0" w:color="CBD5E0"/>
            </w:tcBorders>
            <w:shd w:val="clear" w:color="auto" w:fill="F7FAFC"/>
            <w:tcMar>
              <w:top w:w="80" w:type="dxa"/>
              <w:left w:w="120" w:type="dxa"/>
              <w:bottom w:w="80" w:type="dxa"/>
              <w:right w:w="120" w:type="dxa"/>
            </w:tcMar>
          </w:tcPr>
          <w:p w14:paraId="68785E76" w14:textId="77777777" w:rsidR="00AB52CF" w:rsidRDefault="00000000">
            <w:pPr>
              <w:jc w:val="center"/>
            </w:pPr>
            <w:r>
              <w:rPr>
                <w:sz w:val="20"/>
                <w:szCs w:val="20"/>
              </w:rPr>
              <w:t>6.20%</w:t>
            </w:r>
          </w:p>
        </w:tc>
        <w:tc>
          <w:tcPr>
            <w:tcW w:w="1560" w:type="dxa"/>
            <w:tcBorders>
              <w:top w:val="single" w:sz="1" w:space="0" w:color="CBD5E0"/>
              <w:left w:val="single" w:sz="1" w:space="0" w:color="CBD5E0"/>
              <w:bottom w:val="single" w:sz="1" w:space="0" w:color="CBD5E0"/>
              <w:right w:val="single" w:sz="1" w:space="0" w:color="CBD5E0"/>
            </w:tcBorders>
            <w:shd w:val="clear" w:color="auto" w:fill="F7FAFC"/>
            <w:tcMar>
              <w:top w:w="80" w:type="dxa"/>
              <w:left w:w="120" w:type="dxa"/>
              <w:bottom w:w="80" w:type="dxa"/>
              <w:right w:w="120" w:type="dxa"/>
            </w:tcMar>
          </w:tcPr>
          <w:p w14:paraId="6CCCBBF7" w14:textId="77777777" w:rsidR="00AB52CF" w:rsidRDefault="00000000">
            <w:pPr>
              <w:jc w:val="center"/>
            </w:pPr>
            <w:r>
              <w:rPr>
                <w:sz w:val="20"/>
                <w:szCs w:val="20"/>
              </w:rPr>
              <w:t>❌ +23.8×</w:t>
            </w:r>
          </w:p>
        </w:tc>
      </w:tr>
      <w:tr w:rsidR="00AB52CF" w14:paraId="2B309A8F" w14:textId="77777777">
        <w:tblPrEx>
          <w:tblCellMar>
            <w:top w:w="0" w:type="dxa"/>
            <w:bottom w:w="0" w:type="dxa"/>
          </w:tblCellMar>
        </w:tblPrEx>
        <w:tc>
          <w:tcPr>
            <w:tcW w:w="2800" w:type="dxa"/>
            <w:tcBorders>
              <w:top w:val="single" w:sz="1" w:space="0" w:color="CBD5E0"/>
              <w:left w:val="single" w:sz="1" w:space="0" w:color="CBD5E0"/>
              <w:bottom w:val="single" w:sz="1" w:space="0" w:color="CBD5E0"/>
              <w:right w:val="single" w:sz="1" w:space="0" w:color="CBD5E0"/>
            </w:tcBorders>
            <w:shd w:val="clear" w:color="auto" w:fill="FFFFFF"/>
            <w:tcMar>
              <w:top w:w="80" w:type="dxa"/>
              <w:left w:w="120" w:type="dxa"/>
              <w:bottom w:w="80" w:type="dxa"/>
              <w:right w:w="120" w:type="dxa"/>
            </w:tcMar>
          </w:tcPr>
          <w:p w14:paraId="003F90B7" w14:textId="77777777" w:rsidR="00AB52CF" w:rsidRDefault="00000000">
            <w:r>
              <w:rPr>
                <w:color w:val="0D1F3C"/>
                <w:sz w:val="20"/>
                <w:szCs w:val="20"/>
              </w:rPr>
              <w:t>SARIMA</w:t>
            </w:r>
          </w:p>
        </w:tc>
        <w:tc>
          <w:tcPr>
            <w:tcW w:w="1200" w:type="dxa"/>
            <w:tcBorders>
              <w:top w:val="single" w:sz="1" w:space="0" w:color="CBD5E0"/>
              <w:left w:val="single" w:sz="1" w:space="0" w:color="CBD5E0"/>
              <w:bottom w:val="single" w:sz="1" w:space="0" w:color="CBD5E0"/>
              <w:right w:val="single" w:sz="1" w:space="0" w:color="CBD5E0"/>
            </w:tcBorders>
            <w:shd w:val="clear" w:color="auto" w:fill="FFFFFF"/>
            <w:tcMar>
              <w:top w:w="80" w:type="dxa"/>
              <w:left w:w="120" w:type="dxa"/>
              <w:bottom w:w="80" w:type="dxa"/>
              <w:right w:w="120" w:type="dxa"/>
            </w:tcMar>
          </w:tcPr>
          <w:p w14:paraId="219F60E6" w14:textId="77777777" w:rsidR="00AB52CF" w:rsidRDefault="00000000">
            <w:pPr>
              <w:jc w:val="center"/>
            </w:pPr>
            <w:r>
              <w:rPr>
                <w:sz w:val="20"/>
                <w:szCs w:val="20"/>
              </w:rPr>
              <w:t>433.17</w:t>
            </w:r>
          </w:p>
        </w:tc>
        <w:tc>
          <w:tcPr>
            <w:tcW w:w="1200" w:type="dxa"/>
            <w:tcBorders>
              <w:top w:val="single" w:sz="1" w:space="0" w:color="CBD5E0"/>
              <w:left w:val="single" w:sz="1" w:space="0" w:color="CBD5E0"/>
              <w:bottom w:val="single" w:sz="1" w:space="0" w:color="CBD5E0"/>
              <w:right w:val="single" w:sz="1" w:space="0" w:color="CBD5E0"/>
            </w:tcBorders>
            <w:shd w:val="clear" w:color="auto" w:fill="FFFFFF"/>
            <w:tcMar>
              <w:top w:w="80" w:type="dxa"/>
              <w:left w:w="120" w:type="dxa"/>
              <w:bottom w:w="80" w:type="dxa"/>
              <w:right w:w="120" w:type="dxa"/>
            </w:tcMar>
          </w:tcPr>
          <w:p w14:paraId="7A5515AB" w14:textId="77777777" w:rsidR="00AB52CF" w:rsidRDefault="00000000">
            <w:pPr>
              <w:jc w:val="center"/>
            </w:pPr>
            <w:r>
              <w:rPr>
                <w:sz w:val="20"/>
                <w:szCs w:val="20"/>
              </w:rPr>
              <w:t>501.04</w:t>
            </w:r>
          </w:p>
        </w:tc>
        <w:tc>
          <w:tcPr>
            <w:tcW w:w="1200" w:type="dxa"/>
            <w:tcBorders>
              <w:top w:val="single" w:sz="1" w:space="0" w:color="CBD5E0"/>
              <w:left w:val="single" w:sz="1" w:space="0" w:color="CBD5E0"/>
              <w:bottom w:val="single" w:sz="1" w:space="0" w:color="CBD5E0"/>
              <w:right w:val="single" w:sz="1" w:space="0" w:color="CBD5E0"/>
            </w:tcBorders>
            <w:shd w:val="clear" w:color="auto" w:fill="FFFFFF"/>
            <w:tcMar>
              <w:top w:w="80" w:type="dxa"/>
              <w:left w:w="120" w:type="dxa"/>
              <w:bottom w:w="80" w:type="dxa"/>
              <w:right w:w="120" w:type="dxa"/>
            </w:tcMar>
          </w:tcPr>
          <w:p w14:paraId="2D2D3F9A" w14:textId="77777777" w:rsidR="00AB52CF" w:rsidRDefault="00000000">
            <w:pPr>
              <w:jc w:val="center"/>
            </w:pPr>
            <w:r>
              <w:rPr>
                <w:sz w:val="20"/>
                <w:szCs w:val="20"/>
              </w:rPr>
              <w:t>18.53%</w:t>
            </w:r>
          </w:p>
        </w:tc>
        <w:tc>
          <w:tcPr>
            <w:tcW w:w="1560" w:type="dxa"/>
            <w:tcBorders>
              <w:top w:val="single" w:sz="1" w:space="0" w:color="CBD5E0"/>
              <w:left w:val="single" w:sz="1" w:space="0" w:color="CBD5E0"/>
              <w:bottom w:val="single" w:sz="1" w:space="0" w:color="CBD5E0"/>
              <w:right w:val="single" w:sz="1" w:space="0" w:color="CBD5E0"/>
            </w:tcBorders>
            <w:shd w:val="clear" w:color="auto" w:fill="FFFFFF"/>
            <w:tcMar>
              <w:top w:w="80" w:type="dxa"/>
              <w:left w:w="120" w:type="dxa"/>
              <w:bottom w:w="80" w:type="dxa"/>
              <w:right w:w="120" w:type="dxa"/>
            </w:tcMar>
          </w:tcPr>
          <w:p w14:paraId="3BEDC1CD" w14:textId="77777777" w:rsidR="00AB52CF" w:rsidRDefault="00000000">
            <w:pPr>
              <w:jc w:val="center"/>
            </w:pPr>
            <w:r>
              <w:rPr>
                <w:sz w:val="20"/>
                <w:szCs w:val="20"/>
              </w:rPr>
              <w:t>❌ +71.5×</w:t>
            </w:r>
          </w:p>
        </w:tc>
      </w:tr>
    </w:tbl>
    <w:p w14:paraId="02A62590" w14:textId="77777777" w:rsidR="00AB52CF" w:rsidRDefault="00AB52CF">
      <w:pPr>
        <w:spacing w:before="40" w:after="40"/>
      </w:pPr>
    </w:p>
    <w:p w14:paraId="3AFBAEF9" w14:textId="77777777" w:rsidR="00AB52CF" w:rsidRDefault="00000000">
      <w:pPr>
        <w:spacing w:before="60" w:after="120"/>
        <w:jc w:val="center"/>
      </w:pPr>
      <w:r>
        <w:rPr>
          <w:i/>
          <w:iCs/>
          <w:color w:val="718096"/>
          <w:sz w:val="18"/>
          <w:szCs w:val="18"/>
        </w:rPr>
        <w:t>Table 4: Complete model leaderboard — HHS care load forecasting</w:t>
      </w:r>
    </w:p>
    <w:p w14:paraId="64745FFF" w14:textId="77777777" w:rsidR="00AB52CF" w:rsidRDefault="00000000">
      <w:pPr>
        <w:pStyle w:val="Heading2"/>
        <w:pBdr>
          <w:bottom w:val="single" w:sz="2" w:space="0" w:color="0A7B6C"/>
        </w:pBdr>
      </w:pPr>
      <w:proofErr w:type="gramStart"/>
      <w:r>
        <w:t>6.2  Discharge</w:t>
      </w:r>
      <w:proofErr w:type="gramEnd"/>
      <w:r>
        <w:t xml:space="preserve"> Model Results</w:t>
      </w:r>
    </w:p>
    <w:p w14:paraId="5F93ACCD" w14:textId="77777777" w:rsidR="00AB52CF" w:rsidRDefault="00000000">
      <w:pPr>
        <w:spacing w:before="80" w:after="80"/>
      </w:pPr>
      <w:r>
        <w:t>Discharge demand modelling required a separate, more aggressive training cutoff. The discharge structural break was more severe than the care load break: full-window training mean was 173 children/day while the post-break test mean was approximately 9 children/day — a 94.8% reduction. A March 2025 cutoff was required to reduce the training-test mean gap to 3.67.</w:t>
      </w:r>
    </w:p>
    <w:p w14:paraId="3F591548" w14:textId="77777777" w:rsidR="00AB52CF" w:rsidRDefault="00AB52CF">
      <w:pPr>
        <w:spacing w:before="40"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1400"/>
        <w:gridCol w:w="1400"/>
        <w:gridCol w:w="3360"/>
      </w:tblGrid>
      <w:tr w:rsidR="00AB52CF" w14:paraId="40D7435E" w14:textId="77777777">
        <w:tblPrEx>
          <w:tblCellMar>
            <w:top w:w="0" w:type="dxa"/>
            <w:bottom w:w="0" w:type="dxa"/>
          </w:tblCellMar>
        </w:tblPrEx>
        <w:trPr>
          <w:tblHeader/>
        </w:trPr>
        <w:tc>
          <w:tcPr>
            <w:tcW w:w="3200" w:type="dxa"/>
            <w:tcBorders>
              <w:top w:val="single" w:sz="1" w:space="0" w:color="1A2F4E"/>
              <w:left w:val="single" w:sz="1" w:space="0" w:color="1A2F4E"/>
              <w:bottom w:val="single" w:sz="1" w:space="0" w:color="1A2F4E"/>
              <w:right w:val="single" w:sz="1" w:space="0" w:color="1A2F4E"/>
            </w:tcBorders>
            <w:shd w:val="clear" w:color="auto" w:fill="0D1F3C"/>
            <w:tcMar>
              <w:top w:w="100" w:type="dxa"/>
              <w:left w:w="120" w:type="dxa"/>
              <w:bottom w:w="100" w:type="dxa"/>
              <w:right w:w="120" w:type="dxa"/>
            </w:tcMar>
          </w:tcPr>
          <w:p w14:paraId="579238B5" w14:textId="77777777" w:rsidR="00AB52CF" w:rsidRDefault="00000000">
            <w:pPr>
              <w:jc w:val="center"/>
            </w:pPr>
            <w:r>
              <w:rPr>
                <w:b/>
                <w:bCs/>
                <w:color w:val="FFFFFF"/>
                <w:sz w:val="20"/>
                <w:szCs w:val="20"/>
              </w:rPr>
              <w:t>Model</w:t>
            </w:r>
          </w:p>
        </w:tc>
        <w:tc>
          <w:tcPr>
            <w:tcW w:w="1400" w:type="dxa"/>
            <w:tcBorders>
              <w:top w:val="single" w:sz="1" w:space="0" w:color="1A2F4E"/>
              <w:left w:val="single" w:sz="1" w:space="0" w:color="1A2F4E"/>
              <w:bottom w:val="single" w:sz="1" w:space="0" w:color="1A2F4E"/>
              <w:right w:val="single" w:sz="1" w:space="0" w:color="1A2F4E"/>
            </w:tcBorders>
            <w:shd w:val="clear" w:color="auto" w:fill="0D1F3C"/>
            <w:tcMar>
              <w:top w:w="100" w:type="dxa"/>
              <w:left w:w="120" w:type="dxa"/>
              <w:bottom w:w="100" w:type="dxa"/>
              <w:right w:w="120" w:type="dxa"/>
            </w:tcMar>
          </w:tcPr>
          <w:p w14:paraId="1F965185" w14:textId="77777777" w:rsidR="00AB52CF" w:rsidRDefault="00000000">
            <w:pPr>
              <w:jc w:val="center"/>
            </w:pPr>
            <w:r>
              <w:rPr>
                <w:b/>
                <w:bCs/>
                <w:color w:val="FFFFFF"/>
                <w:sz w:val="20"/>
                <w:szCs w:val="20"/>
              </w:rPr>
              <w:t>MAE ↓</w:t>
            </w:r>
          </w:p>
        </w:tc>
        <w:tc>
          <w:tcPr>
            <w:tcW w:w="1400" w:type="dxa"/>
            <w:tcBorders>
              <w:top w:val="single" w:sz="1" w:space="0" w:color="1A2F4E"/>
              <w:left w:val="single" w:sz="1" w:space="0" w:color="1A2F4E"/>
              <w:bottom w:val="single" w:sz="1" w:space="0" w:color="1A2F4E"/>
              <w:right w:val="single" w:sz="1" w:space="0" w:color="1A2F4E"/>
            </w:tcBorders>
            <w:shd w:val="clear" w:color="auto" w:fill="0D1F3C"/>
            <w:tcMar>
              <w:top w:w="100" w:type="dxa"/>
              <w:left w:w="120" w:type="dxa"/>
              <w:bottom w:w="100" w:type="dxa"/>
              <w:right w:w="120" w:type="dxa"/>
            </w:tcMar>
          </w:tcPr>
          <w:p w14:paraId="64C22605" w14:textId="77777777" w:rsidR="00AB52CF" w:rsidRDefault="00000000">
            <w:pPr>
              <w:jc w:val="center"/>
            </w:pPr>
            <w:r>
              <w:rPr>
                <w:b/>
                <w:bCs/>
                <w:color w:val="FFFFFF"/>
                <w:sz w:val="20"/>
                <w:szCs w:val="20"/>
              </w:rPr>
              <w:t>RMSE ↓</w:t>
            </w:r>
          </w:p>
        </w:tc>
        <w:tc>
          <w:tcPr>
            <w:tcW w:w="3360" w:type="dxa"/>
            <w:tcBorders>
              <w:top w:val="single" w:sz="1" w:space="0" w:color="1A2F4E"/>
              <w:left w:val="single" w:sz="1" w:space="0" w:color="1A2F4E"/>
              <w:bottom w:val="single" w:sz="1" w:space="0" w:color="1A2F4E"/>
              <w:right w:val="single" w:sz="1" w:space="0" w:color="1A2F4E"/>
            </w:tcBorders>
            <w:shd w:val="clear" w:color="auto" w:fill="0D1F3C"/>
            <w:tcMar>
              <w:top w:w="100" w:type="dxa"/>
              <w:left w:w="120" w:type="dxa"/>
              <w:bottom w:w="100" w:type="dxa"/>
              <w:right w:w="120" w:type="dxa"/>
            </w:tcMar>
          </w:tcPr>
          <w:p w14:paraId="07396B55" w14:textId="77777777" w:rsidR="00AB52CF" w:rsidRDefault="00000000">
            <w:pPr>
              <w:jc w:val="center"/>
            </w:pPr>
            <w:r>
              <w:rPr>
                <w:b/>
                <w:bCs/>
                <w:color w:val="FFFFFF"/>
                <w:sz w:val="20"/>
                <w:szCs w:val="20"/>
              </w:rPr>
              <w:t>Note</w:t>
            </w:r>
          </w:p>
        </w:tc>
      </w:tr>
      <w:tr w:rsidR="00AB52CF" w14:paraId="4DE76F4B" w14:textId="77777777">
        <w:tblPrEx>
          <w:tblCellMar>
            <w:top w:w="0" w:type="dxa"/>
            <w:bottom w:w="0" w:type="dxa"/>
          </w:tblCellMar>
        </w:tblPrEx>
        <w:tc>
          <w:tcPr>
            <w:tcW w:w="3200" w:type="dxa"/>
            <w:tcBorders>
              <w:top w:val="single" w:sz="1" w:space="0" w:color="CBD5E0"/>
              <w:left w:val="single" w:sz="1" w:space="0" w:color="CBD5E0"/>
              <w:bottom w:val="single" w:sz="1" w:space="0" w:color="CBD5E0"/>
              <w:right w:val="single" w:sz="1" w:space="0" w:color="CBD5E0"/>
            </w:tcBorders>
            <w:shd w:val="clear" w:color="auto" w:fill="FFFFFF"/>
            <w:tcMar>
              <w:top w:w="80" w:type="dxa"/>
              <w:left w:w="120" w:type="dxa"/>
              <w:bottom w:w="80" w:type="dxa"/>
              <w:right w:w="120" w:type="dxa"/>
            </w:tcMar>
          </w:tcPr>
          <w:p w14:paraId="1D403C6D" w14:textId="77777777" w:rsidR="00AB52CF" w:rsidRDefault="00000000">
            <w:r>
              <w:rPr>
                <w:b/>
                <w:bCs/>
                <w:color w:val="0D1F3C"/>
                <w:sz w:val="20"/>
                <w:szCs w:val="20"/>
              </w:rPr>
              <w:t xml:space="preserve">🏆 </w:t>
            </w:r>
            <w:proofErr w:type="spellStart"/>
            <w:r>
              <w:rPr>
                <w:b/>
                <w:bCs/>
                <w:color w:val="0D1F3C"/>
                <w:sz w:val="20"/>
                <w:szCs w:val="20"/>
              </w:rPr>
              <w:t>XGBoost</w:t>
            </w:r>
            <w:proofErr w:type="spellEnd"/>
            <w:r>
              <w:rPr>
                <w:b/>
                <w:bCs/>
                <w:color w:val="0D1F3C"/>
                <w:sz w:val="20"/>
                <w:szCs w:val="20"/>
              </w:rPr>
              <w:t xml:space="preserve"> (Mar 2025 cutoff)</w:t>
            </w:r>
          </w:p>
        </w:tc>
        <w:tc>
          <w:tcPr>
            <w:tcW w:w="1400" w:type="dxa"/>
            <w:tcBorders>
              <w:top w:val="single" w:sz="1" w:space="0" w:color="CBD5E0"/>
              <w:left w:val="single" w:sz="1" w:space="0" w:color="CBD5E0"/>
              <w:bottom w:val="single" w:sz="1" w:space="0" w:color="CBD5E0"/>
              <w:right w:val="single" w:sz="1" w:space="0" w:color="CBD5E0"/>
            </w:tcBorders>
            <w:shd w:val="clear" w:color="auto" w:fill="E6FFF9"/>
            <w:tcMar>
              <w:top w:w="80" w:type="dxa"/>
              <w:left w:w="120" w:type="dxa"/>
              <w:bottom w:w="80" w:type="dxa"/>
              <w:right w:w="120" w:type="dxa"/>
            </w:tcMar>
          </w:tcPr>
          <w:p w14:paraId="445ADBD1" w14:textId="77777777" w:rsidR="00AB52CF" w:rsidRDefault="00000000">
            <w:pPr>
              <w:jc w:val="center"/>
            </w:pPr>
            <w:r>
              <w:rPr>
                <w:b/>
                <w:bCs/>
                <w:color w:val="0A7B6C"/>
                <w:sz w:val="20"/>
                <w:szCs w:val="20"/>
              </w:rPr>
              <w:t>0.63</w:t>
            </w:r>
          </w:p>
        </w:tc>
        <w:tc>
          <w:tcPr>
            <w:tcW w:w="1400" w:type="dxa"/>
            <w:tcBorders>
              <w:top w:val="single" w:sz="1" w:space="0" w:color="CBD5E0"/>
              <w:left w:val="single" w:sz="1" w:space="0" w:color="CBD5E0"/>
              <w:bottom w:val="single" w:sz="1" w:space="0" w:color="CBD5E0"/>
              <w:right w:val="single" w:sz="1" w:space="0" w:color="CBD5E0"/>
            </w:tcBorders>
            <w:shd w:val="clear" w:color="auto" w:fill="E6FFF9"/>
            <w:tcMar>
              <w:top w:w="80" w:type="dxa"/>
              <w:left w:w="120" w:type="dxa"/>
              <w:bottom w:w="80" w:type="dxa"/>
              <w:right w:w="120" w:type="dxa"/>
            </w:tcMar>
          </w:tcPr>
          <w:p w14:paraId="6CAFBFEF" w14:textId="77777777" w:rsidR="00AB52CF" w:rsidRDefault="00000000">
            <w:pPr>
              <w:jc w:val="center"/>
            </w:pPr>
            <w:r>
              <w:rPr>
                <w:b/>
                <w:bCs/>
                <w:color w:val="0A7B6C"/>
                <w:sz w:val="20"/>
                <w:szCs w:val="20"/>
              </w:rPr>
              <w:t>1.04</w:t>
            </w:r>
          </w:p>
        </w:tc>
        <w:tc>
          <w:tcPr>
            <w:tcW w:w="3360" w:type="dxa"/>
            <w:tcBorders>
              <w:top w:val="single" w:sz="1" w:space="0" w:color="CBD5E0"/>
              <w:left w:val="single" w:sz="1" w:space="0" w:color="CBD5E0"/>
              <w:bottom w:val="single" w:sz="1" w:space="0" w:color="CBD5E0"/>
              <w:right w:val="single" w:sz="1" w:space="0" w:color="CBD5E0"/>
            </w:tcBorders>
            <w:shd w:val="clear" w:color="auto" w:fill="E6FFF9"/>
            <w:tcMar>
              <w:top w:w="80" w:type="dxa"/>
              <w:left w:w="120" w:type="dxa"/>
              <w:bottom w:w="80" w:type="dxa"/>
              <w:right w:w="120" w:type="dxa"/>
            </w:tcMar>
          </w:tcPr>
          <w:p w14:paraId="2D6319F4" w14:textId="77777777" w:rsidR="00AB52CF" w:rsidRDefault="00000000">
            <w:pPr>
              <w:jc w:val="center"/>
            </w:pPr>
            <w:r>
              <w:rPr>
                <w:b/>
                <w:bCs/>
                <w:color w:val="0A7B6C"/>
                <w:sz w:val="20"/>
                <w:szCs w:val="20"/>
              </w:rPr>
              <w:t>Selected — generalises well</w:t>
            </w:r>
          </w:p>
        </w:tc>
      </w:tr>
      <w:tr w:rsidR="00AB52CF" w14:paraId="489CDA16" w14:textId="77777777">
        <w:tblPrEx>
          <w:tblCellMar>
            <w:top w:w="0" w:type="dxa"/>
            <w:bottom w:w="0" w:type="dxa"/>
          </w:tblCellMar>
        </w:tblPrEx>
        <w:tc>
          <w:tcPr>
            <w:tcW w:w="3200" w:type="dxa"/>
            <w:tcBorders>
              <w:top w:val="single" w:sz="1" w:space="0" w:color="CBD5E0"/>
              <w:left w:val="single" w:sz="1" w:space="0" w:color="CBD5E0"/>
              <w:bottom w:val="single" w:sz="1" w:space="0" w:color="CBD5E0"/>
              <w:right w:val="single" w:sz="1" w:space="0" w:color="CBD5E0"/>
            </w:tcBorders>
            <w:shd w:val="clear" w:color="auto" w:fill="F7FAFC"/>
            <w:tcMar>
              <w:top w:w="80" w:type="dxa"/>
              <w:left w:w="120" w:type="dxa"/>
              <w:bottom w:w="80" w:type="dxa"/>
              <w:right w:w="120" w:type="dxa"/>
            </w:tcMar>
          </w:tcPr>
          <w:p w14:paraId="42A57F4A" w14:textId="77777777" w:rsidR="00AB52CF" w:rsidRDefault="00000000">
            <w:r>
              <w:rPr>
                <w:color w:val="0D1F3C"/>
                <w:sz w:val="20"/>
                <w:szCs w:val="20"/>
              </w:rPr>
              <w:t>Random Forest (Mar 2025)</w:t>
            </w:r>
          </w:p>
        </w:tc>
        <w:tc>
          <w:tcPr>
            <w:tcW w:w="1400" w:type="dxa"/>
            <w:tcBorders>
              <w:top w:val="single" w:sz="1" w:space="0" w:color="CBD5E0"/>
              <w:left w:val="single" w:sz="1" w:space="0" w:color="CBD5E0"/>
              <w:bottom w:val="single" w:sz="1" w:space="0" w:color="CBD5E0"/>
              <w:right w:val="single" w:sz="1" w:space="0" w:color="CBD5E0"/>
            </w:tcBorders>
            <w:shd w:val="clear" w:color="auto" w:fill="F7FAFC"/>
            <w:tcMar>
              <w:top w:w="80" w:type="dxa"/>
              <w:left w:w="120" w:type="dxa"/>
              <w:bottom w:w="80" w:type="dxa"/>
              <w:right w:w="120" w:type="dxa"/>
            </w:tcMar>
          </w:tcPr>
          <w:p w14:paraId="62111B10" w14:textId="77777777" w:rsidR="00AB52CF" w:rsidRDefault="00000000">
            <w:pPr>
              <w:jc w:val="center"/>
            </w:pPr>
            <w:r>
              <w:rPr>
                <w:sz w:val="20"/>
                <w:szCs w:val="20"/>
              </w:rPr>
              <w:t>0.95</w:t>
            </w:r>
          </w:p>
        </w:tc>
        <w:tc>
          <w:tcPr>
            <w:tcW w:w="1400" w:type="dxa"/>
            <w:tcBorders>
              <w:top w:val="single" w:sz="1" w:space="0" w:color="CBD5E0"/>
              <w:left w:val="single" w:sz="1" w:space="0" w:color="CBD5E0"/>
              <w:bottom w:val="single" w:sz="1" w:space="0" w:color="CBD5E0"/>
              <w:right w:val="single" w:sz="1" w:space="0" w:color="CBD5E0"/>
            </w:tcBorders>
            <w:shd w:val="clear" w:color="auto" w:fill="F7FAFC"/>
            <w:tcMar>
              <w:top w:w="80" w:type="dxa"/>
              <w:left w:w="120" w:type="dxa"/>
              <w:bottom w:w="80" w:type="dxa"/>
              <w:right w:w="120" w:type="dxa"/>
            </w:tcMar>
          </w:tcPr>
          <w:p w14:paraId="45482534" w14:textId="77777777" w:rsidR="00AB52CF" w:rsidRDefault="00000000">
            <w:pPr>
              <w:jc w:val="center"/>
            </w:pPr>
            <w:r>
              <w:rPr>
                <w:sz w:val="20"/>
                <w:szCs w:val="20"/>
              </w:rPr>
              <w:t>1.31</w:t>
            </w:r>
          </w:p>
        </w:tc>
        <w:tc>
          <w:tcPr>
            <w:tcW w:w="3360" w:type="dxa"/>
            <w:tcBorders>
              <w:top w:val="single" w:sz="1" w:space="0" w:color="CBD5E0"/>
              <w:left w:val="single" w:sz="1" w:space="0" w:color="CBD5E0"/>
              <w:bottom w:val="single" w:sz="1" w:space="0" w:color="CBD5E0"/>
              <w:right w:val="single" w:sz="1" w:space="0" w:color="CBD5E0"/>
            </w:tcBorders>
            <w:shd w:val="clear" w:color="auto" w:fill="F7FAFC"/>
            <w:tcMar>
              <w:top w:w="80" w:type="dxa"/>
              <w:left w:w="120" w:type="dxa"/>
              <w:bottom w:w="80" w:type="dxa"/>
              <w:right w:w="120" w:type="dxa"/>
            </w:tcMar>
          </w:tcPr>
          <w:p w14:paraId="7BC82769" w14:textId="77777777" w:rsidR="00AB52CF" w:rsidRDefault="00000000">
            <w:pPr>
              <w:jc w:val="center"/>
            </w:pPr>
            <w:r>
              <w:rPr>
                <w:sz w:val="20"/>
                <w:szCs w:val="20"/>
              </w:rPr>
              <w:t>Viable but outperformed</w:t>
            </w:r>
          </w:p>
        </w:tc>
      </w:tr>
      <w:tr w:rsidR="00AB52CF" w14:paraId="268EEAB3" w14:textId="77777777">
        <w:tblPrEx>
          <w:tblCellMar>
            <w:top w:w="0" w:type="dxa"/>
            <w:bottom w:w="0" w:type="dxa"/>
          </w:tblCellMar>
        </w:tblPrEx>
        <w:tc>
          <w:tcPr>
            <w:tcW w:w="3200" w:type="dxa"/>
            <w:tcBorders>
              <w:top w:val="single" w:sz="1" w:space="0" w:color="CBD5E0"/>
              <w:left w:val="single" w:sz="1" w:space="0" w:color="CBD5E0"/>
              <w:bottom w:val="single" w:sz="1" w:space="0" w:color="CBD5E0"/>
              <w:right w:val="single" w:sz="1" w:space="0" w:color="CBD5E0"/>
            </w:tcBorders>
            <w:shd w:val="clear" w:color="auto" w:fill="FFFFFF"/>
            <w:tcMar>
              <w:top w:w="80" w:type="dxa"/>
              <w:left w:w="120" w:type="dxa"/>
              <w:bottom w:w="80" w:type="dxa"/>
              <w:right w:w="120" w:type="dxa"/>
            </w:tcMar>
          </w:tcPr>
          <w:p w14:paraId="44674A0B" w14:textId="77777777" w:rsidR="00AB52CF" w:rsidRDefault="00000000">
            <w:r>
              <w:rPr>
                <w:color w:val="0D1F3C"/>
                <w:sz w:val="20"/>
                <w:szCs w:val="20"/>
              </w:rPr>
              <w:t>Ridge Regression (Mar 2025)</w:t>
            </w:r>
          </w:p>
        </w:tc>
        <w:tc>
          <w:tcPr>
            <w:tcW w:w="1400" w:type="dxa"/>
            <w:tcBorders>
              <w:top w:val="single" w:sz="1" w:space="0" w:color="CBD5E0"/>
              <w:left w:val="single" w:sz="1" w:space="0" w:color="CBD5E0"/>
              <w:bottom w:val="single" w:sz="1" w:space="0" w:color="CBD5E0"/>
              <w:right w:val="single" w:sz="1" w:space="0" w:color="CBD5E0"/>
            </w:tcBorders>
            <w:shd w:val="clear" w:color="auto" w:fill="FFFFFF"/>
            <w:tcMar>
              <w:top w:w="80" w:type="dxa"/>
              <w:left w:w="120" w:type="dxa"/>
              <w:bottom w:w="80" w:type="dxa"/>
              <w:right w:w="120" w:type="dxa"/>
            </w:tcMar>
          </w:tcPr>
          <w:p w14:paraId="49906FD9" w14:textId="77777777" w:rsidR="00AB52CF" w:rsidRDefault="00000000">
            <w:pPr>
              <w:jc w:val="center"/>
            </w:pPr>
            <w:r>
              <w:rPr>
                <w:sz w:val="20"/>
                <w:szCs w:val="20"/>
              </w:rPr>
              <w:t>0.03</w:t>
            </w:r>
          </w:p>
        </w:tc>
        <w:tc>
          <w:tcPr>
            <w:tcW w:w="1400" w:type="dxa"/>
            <w:tcBorders>
              <w:top w:val="single" w:sz="1" w:space="0" w:color="CBD5E0"/>
              <w:left w:val="single" w:sz="1" w:space="0" w:color="CBD5E0"/>
              <w:bottom w:val="single" w:sz="1" w:space="0" w:color="CBD5E0"/>
              <w:right w:val="single" w:sz="1" w:space="0" w:color="CBD5E0"/>
            </w:tcBorders>
            <w:shd w:val="clear" w:color="auto" w:fill="FFFFFF"/>
            <w:tcMar>
              <w:top w:w="80" w:type="dxa"/>
              <w:left w:w="120" w:type="dxa"/>
              <w:bottom w:w="80" w:type="dxa"/>
              <w:right w:w="120" w:type="dxa"/>
            </w:tcMar>
          </w:tcPr>
          <w:p w14:paraId="451FA83B" w14:textId="77777777" w:rsidR="00AB52CF" w:rsidRDefault="00000000">
            <w:pPr>
              <w:jc w:val="center"/>
            </w:pPr>
            <w:r>
              <w:rPr>
                <w:sz w:val="20"/>
                <w:szCs w:val="20"/>
              </w:rPr>
              <w:t>—</w:t>
            </w:r>
          </w:p>
        </w:tc>
        <w:tc>
          <w:tcPr>
            <w:tcW w:w="3360" w:type="dxa"/>
            <w:tcBorders>
              <w:top w:val="single" w:sz="1" w:space="0" w:color="CBD5E0"/>
              <w:left w:val="single" w:sz="1" w:space="0" w:color="CBD5E0"/>
              <w:bottom w:val="single" w:sz="1" w:space="0" w:color="CBD5E0"/>
              <w:right w:val="single" w:sz="1" w:space="0" w:color="CBD5E0"/>
            </w:tcBorders>
            <w:shd w:val="clear" w:color="auto" w:fill="FFFFFF"/>
            <w:tcMar>
              <w:top w:w="80" w:type="dxa"/>
              <w:left w:w="120" w:type="dxa"/>
              <w:bottom w:w="80" w:type="dxa"/>
              <w:right w:w="120" w:type="dxa"/>
            </w:tcMar>
          </w:tcPr>
          <w:p w14:paraId="6A85B573" w14:textId="77777777" w:rsidR="00AB52CF" w:rsidRDefault="00000000">
            <w:pPr>
              <w:jc w:val="center"/>
            </w:pPr>
            <w:r>
              <w:rPr>
                <w:sz w:val="20"/>
                <w:szCs w:val="20"/>
              </w:rPr>
              <w:t>⚠️ Excluded — overfitting</w:t>
            </w:r>
          </w:p>
        </w:tc>
      </w:tr>
    </w:tbl>
    <w:p w14:paraId="53CE9A69" w14:textId="77777777" w:rsidR="00AB52CF" w:rsidRDefault="00AB52CF">
      <w:pPr>
        <w:spacing w:before="40" w:after="40"/>
      </w:pPr>
    </w:p>
    <w:p w14:paraId="38068FA1" w14:textId="77777777" w:rsidR="00AB52CF" w:rsidRDefault="00000000">
      <w:pPr>
        <w:spacing w:before="60" w:after="120"/>
        <w:jc w:val="center"/>
      </w:pPr>
      <w:r>
        <w:rPr>
          <w:i/>
          <w:iCs/>
          <w:color w:val="718096"/>
          <w:sz w:val="18"/>
          <w:szCs w:val="18"/>
        </w:rPr>
        <w:t>Table 5: Discharge model results (Mar 2025 training cutoff)</w:t>
      </w:r>
    </w:p>
    <w:p w14:paraId="6EC0D306" w14:textId="77777777" w:rsidR="00AB52CF" w:rsidRDefault="00000000">
      <w:pPr>
        <w:spacing w:before="80" w:after="80"/>
      </w:pPr>
      <w:r>
        <w:t xml:space="preserve">Ridge Regression achieved MAE 0.03 — an unrealistically perfect result that indicated overfitting to the narrow training window. </w:t>
      </w:r>
      <w:proofErr w:type="spellStart"/>
      <w:r>
        <w:t>XGBoost</w:t>
      </w:r>
      <w:proofErr w:type="spellEnd"/>
      <w:r>
        <w:t xml:space="preserve"> MAE 0.63 was selected as the honest, generalisable best. In operational terms, this represents less than one child per day in prediction error.</w:t>
      </w:r>
    </w:p>
    <w:p w14:paraId="766C8E94" w14:textId="77777777" w:rsidR="00AB52CF" w:rsidRDefault="00000000">
      <w:pPr>
        <w:pStyle w:val="Heading2"/>
        <w:pBdr>
          <w:bottom w:val="single" w:sz="2" w:space="0" w:color="0A7B6C"/>
        </w:pBdr>
      </w:pPr>
      <w:proofErr w:type="gramStart"/>
      <w:r>
        <w:t>6.3  Early</w:t>
      </w:r>
      <w:proofErr w:type="gramEnd"/>
      <w:r>
        <w:t xml:space="preserve"> Warning System</w:t>
      </w:r>
    </w:p>
    <w:p w14:paraId="3DA6B848" w14:textId="77777777" w:rsidR="00AB52CF" w:rsidRDefault="00000000">
      <w:pPr>
        <w:spacing w:before="80" w:after="80"/>
      </w:pPr>
      <w:r>
        <w:lastRenderedPageBreak/>
        <w:t xml:space="preserve">Alert thresholds were derived from the full historical distribution of </w:t>
      </w:r>
      <w:proofErr w:type="spellStart"/>
      <w:r>
        <w:t>hhs_care</w:t>
      </w:r>
      <w:proofErr w:type="spellEnd"/>
      <w:r>
        <w:t>:</w:t>
      </w:r>
    </w:p>
    <w:p w14:paraId="3FF86704" w14:textId="77777777" w:rsidR="00AB52CF" w:rsidRDefault="00000000">
      <w:pPr>
        <w:pStyle w:val="ListParagraph"/>
        <w:numPr>
          <w:ilvl w:val="0"/>
          <w:numId w:val="2"/>
        </w:numPr>
        <w:spacing w:before="60" w:after="60"/>
      </w:pPr>
      <w:r>
        <w:t>Normal: below 8,040 (75th percentile of full historical data)</w:t>
      </w:r>
    </w:p>
    <w:p w14:paraId="3794DB85" w14:textId="77777777" w:rsidR="00AB52CF" w:rsidRDefault="00000000">
      <w:pPr>
        <w:pStyle w:val="ListParagraph"/>
        <w:numPr>
          <w:ilvl w:val="0"/>
          <w:numId w:val="2"/>
        </w:numPr>
        <w:spacing w:before="60" w:after="60"/>
      </w:pPr>
      <w:r>
        <w:t>Stress: 8,040 – 9,831 (75th to 90th percentile)</w:t>
      </w:r>
    </w:p>
    <w:p w14:paraId="64B659B3" w14:textId="77777777" w:rsidR="00AB52CF" w:rsidRDefault="00000000">
      <w:pPr>
        <w:pStyle w:val="ListParagraph"/>
        <w:numPr>
          <w:ilvl w:val="0"/>
          <w:numId w:val="2"/>
        </w:numPr>
        <w:spacing w:before="60" w:after="60"/>
      </w:pPr>
      <w:r>
        <w:t>Critical: above 9,831 (90th percentile)</w:t>
      </w:r>
    </w:p>
    <w:p w14:paraId="429C26CE" w14:textId="77777777" w:rsidR="00AB52CF" w:rsidRDefault="00000000">
      <w:pPr>
        <w:spacing w:before="80" w:after="80"/>
      </w:pPr>
      <w:r>
        <w:t>During the test period (November – December 2025), all 57 test observations fell in the Normal zone with care load approximately 2,300 — 71% below the stress threshold. The early warning system correctly classified all test observations.</w:t>
      </w:r>
    </w:p>
    <w:p w14:paraId="7B89938F" w14:textId="77777777" w:rsidR="00AB52CF" w:rsidRDefault="00000000">
      <w:pPr>
        <w:pStyle w:val="Heading2"/>
        <w:pBdr>
          <w:bottom w:val="single" w:sz="2" w:space="0" w:color="0A7B6C"/>
        </w:pBdr>
      </w:pPr>
      <w:proofErr w:type="gramStart"/>
      <w:r>
        <w:t>6.4  Surge</w:t>
      </w:r>
      <w:proofErr w:type="gramEnd"/>
      <w:r>
        <w:t xml:space="preserve"> Detection Limitation</w:t>
      </w:r>
    </w:p>
    <w:p w14:paraId="67EED646" w14:textId="77777777" w:rsidR="00AB52CF" w:rsidRDefault="00AB52CF">
      <w:pPr>
        <w:spacing w:before="40"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AB52CF" w14:paraId="04F6A79A" w14:textId="77777777">
        <w:tblPrEx>
          <w:tblCellMar>
            <w:top w:w="0" w:type="dxa"/>
            <w:bottom w:w="0" w:type="dxa"/>
          </w:tblCellMar>
        </w:tblPrEx>
        <w:tc>
          <w:tcPr>
            <w:tcW w:w="9360" w:type="dxa"/>
            <w:tcBorders>
              <w:top w:val="single" w:sz="6" w:space="0" w:color="0A7B6C"/>
              <w:left w:val="thick" w:sz="12" w:space="0" w:color="0A7B6C"/>
              <w:bottom w:val="none" w:sz="0" w:space="0" w:color="FFFFFF"/>
              <w:right w:val="none" w:sz="0" w:space="0" w:color="FFFFFF"/>
            </w:tcBorders>
            <w:shd w:val="clear" w:color="auto" w:fill="FEF3CD"/>
            <w:tcMar>
              <w:top w:w="120" w:type="dxa"/>
              <w:left w:w="200" w:type="dxa"/>
              <w:bottom w:w="120" w:type="dxa"/>
              <w:right w:w="120" w:type="dxa"/>
            </w:tcMar>
          </w:tcPr>
          <w:p w14:paraId="509F290D" w14:textId="77777777" w:rsidR="00AB52CF" w:rsidRDefault="00000000">
            <w:r>
              <w:rPr>
                <w:i/>
                <w:iCs/>
                <w:color w:val="2D3748"/>
              </w:rPr>
              <w:t xml:space="preserve">Important limitation: During the 2024 surge period (care load rising from ~5,800 to ~6,600), </w:t>
            </w:r>
            <w:proofErr w:type="spellStart"/>
            <w:r>
              <w:rPr>
                <w:i/>
                <w:iCs/>
                <w:color w:val="2D3748"/>
              </w:rPr>
              <w:t>XGBoost</w:t>
            </w:r>
            <w:proofErr w:type="spellEnd"/>
            <w:r>
              <w:rPr>
                <w:i/>
                <w:iCs/>
                <w:color w:val="2D3748"/>
              </w:rPr>
              <w:t xml:space="preserve"> MAE was 67.12 vs Naïve MAE 42.46 — the naïve model outperformed. The recent-window model is optimised for the post-break regime and would require retraining if care load returns to pre-2025 levels. This is a documented limitation, not a design flaw.</w:t>
            </w:r>
          </w:p>
        </w:tc>
      </w:tr>
    </w:tbl>
    <w:p w14:paraId="05886430" w14:textId="77777777" w:rsidR="00AB52CF" w:rsidRDefault="00000000">
      <w:r>
        <w:br w:type="page"/>
      </w:r>
    </w:p>
    <w:p w14:paraId="5C78437A" w14:textId="77777777" w:rsidR="00AB52CF" w:rsidRDefault="00000000">
      <w:pPr>
        <w:pStyle w:val="Heading1"/>
      </w:pPr>
      <w:r>
        <w:lastRenderedPageBreak/>
        <w:t xml:space="preserve">7. </w:t>
      </w:r>
      <w:proofErr w:type="spellStart"/>
      <w:r>
        <w:t>Streamlit</w:t>
      </w:r>
      <w:proofErr w:type="spellEnd"/>
      <w:r>
        <w:t xml:space="preserve"> Dashboard</w:t>
      </w:r>
    </w:p>
    <w:p w14:paraId="0CC18873" w14:textId="77777777" w:rsidR="00AB52CF" w:rsidRDefault="00000000">
      <w:pPr>
        <w:spacing w:before="80" w:after="80"/>
      </w:pPr>
      <w:r>
        <w:t xml:space="preserve">A six-page </w:t>
      </w:r>
      <w:proofErr w:type="spellStart"/>
      <w:r>
        <w:t>Streamlit</w:t>
      </w:r>
      <w:proofErr w:type="spellEnd"/>
      <w:r>
        <w:t xml:space="preserve"> dashboard was built to operationalise both forecasting models. The dashboard is designed to be used by HHS programme staff with no data science background — all technical complexity is hidden behind a clean operational interface.</w:t>
      </w:r>
    </w:p>
    <w:p w14:paraId="779C512E" w14:textId="77777777" w:rsidR="00AB52CF" w:rsidRDefault="00000000">
      <w:pPr>
        <w:pStyle w:val="Heading2"/>
        <w:pBdr>
          <w:bottom w:val="single" w:sz="2" w:space="0" w:color="0A7B6C"/>
        </w:pBdr>
      </w:pPr>
      <w:proofErr w:type="gramStart"/>
      <w:r>
        <w:t>7.1  Pages</w:t>
      </w:r>
      <w:proofErr w:type="gramEnd"/>
      <w:r>
        <w:t xml:space="preserve"> &amp; Features</w:t>
      </w:r>
    </w:p>
    <w:p w14:paraId="42E354C3" w14:textId="77777777" w:rsidR="00AB52CF" w:rsidRDefault="00000000">
      <w:pPr>
        <w:pStyle w:val="ListParagraph"/>
        <w:numPr>
          <w:ilvl w:val="0"/>
          <w:numId w:val="2"/>
        </w:numPr>
        <w:spacing w:before="60" w:after="60"/>
      </w:pPr>
      <w:r>
        <w:rPr>
          <w:b/>
          <w:bCs/>
        </w:rPr>
        <w:t xml:space="preserve">Overview: </w:t>
      </w:r>
      <w:r>
        <w:t>KPI cards (care load, discharges, transfers, net flow, alert status), full historical trend chart, intake vs discharge balance, key findings summary, model leaderboard.</w:t>
      </w:r>
    </w:p>
    <w:p w14:paraId="26378AD8" w14:textId="77777777" w:rsidR="00AB52CF" w:rsidRDefault="00000000">
      <w:pPr>
        <w:pStyle w:val="ListParagraph"/>
        <w:numPr>
          <w:ilvl w:val="0"/>
          <w:numId w:val="2"/>
        </w:numPr>
        <w:spacing w:before="60" w:after="60"/>
      </w:pPr>
      <w:r>
        <w:rPr>
          <w:b/>
          <w:bCs/>
        </w:rPr>
        <w:t xml:space="preserve">Care Load Forecast: </w:t>
      </w:r>
      <w:r>
        <w:t>User enters last 14 days of care load plus today's pipeline figures. All rolling statistics are computed automatically. Model produces next-day prediction with alert level, change vs yesterday, and capacity threshold percentage.</w:t>
      </w:r>
    </w:p>
    <w:p w14:paraId="3BD63751" w14:textId="77777777" w:rsidR="00AB52CF" w:rsidRDefault="00000000">
      <w:pPr>
        <w:pStyle w:val="ListParagraph"/>
        <w:numPr>
          <w:ilvl w:val="0"/>
          <w:numId w:val="2"/>
        </w:numPr>
        <w:spacing w:before="60" w:after="60"/>
      </w:pPr>
      <w:r>
        <w:rPr>
          <w:b/>
          <w:bCs/>
        </w:rPr>
        <w:t xml:space="preserve">Discharge Forecast: </w:t>
      </w:r>
      <w:r>
        <w:t>Same zero-CSV-dependency interface for discharge demand prediction. Results include weekly and monthly placement capacity estimates across three scenarios.</w:t>
      </w:r>
    </w:p>
    <w:p w14:paraId="2414F6C5" w14:textId="77777777" w:rsidR="00AB52CF" w:rsidRDefault="00000000">
      <w:pPr>
        <w:pStyle w:val="ListParagraph"/>
        <w:numPr>
          <w:ilvl w:val="0"/>
          <w:numId w:val="2"/>
        </w:numPr>
        <w:spacing w:before="60" w:after="60"/>
      </w:pPr>
      <w:r>
        <w:rPr>
          <w:b/>
          <w:bCs/>
        </w:rPr>
        <w:t xml:space="preserve">Early Warning System: </w:t>
      </w:r>
      <w:r>
        <w:t>Historical alert zone chart, 90-day alert history with colour-coded bars, alert distribution breakdown, and five project KPI metrics.</w:t>
      </w:r>
    </w:p>
    <w:p w14:paraId="534B9CF6" w14:textId="77777777" w:rsidR="00AB52CF" w:rsidRDefault="00000000">
      <w:pPr>
        <w:pStyle w:val="ListParagraph"/>
        <w:numPr>
          <w:ilvl w:val="0"/>
          <w:numId w:val="2"/>
        </w:numPr>
        <w:spacing w:before="60" w:after="60"/>
      </w:pPr>
      <w:r>
        <w:rPr>
          <w:b/>
          <w:bCs/>
        </w:rPr>
        <w:t xml:space="preserve">Model Performance: </w:t>
      </w:r>
      <w:r>
        <w:t xml:space="preserve">Complete leaderboard, MAE comparison chart, four-phase escalation story, </w:t>
      </w:r>
      <w:proofErr w:type="spellStart"/>
      <w:r>
        <w:t>XGBoost</w:t>
      </w:r>
      <w:proofErr w:type="spellEnd"/>
      <w:r>
        <w:t xml:space="preserve"> feature importance chart, all saved notebook figures.</w:t>
      </w:r>
    </w:p>
    <w:p w14:paraId="16D16874" w14:textId="77777777" w:rsidR="00AB52CF" w:rsidRDefault="00000000">
      <w:pPr>
        <w:pStyle w:val="ListParagraph"/>
        <w:numPr>
          <w:ilvl w:val="0"/>
          <w:numId w:val="2"/>
        </w:numPr>
        <w:spacing w:before="60" w:after="60"/>
      </w:pPr>
      <w:r>
        <w:rPr>
          <w:b/>
          <w:bCs/>
        </w:rPr>
        <w:t xml:space="preserve">About &amp; Dataset: </w:t>
      </w:r>
      <w:r>
        <w:t>Problem statement, dataset properties, tech stack, project structure.</w:t>
      </w:r>
    </w:p>
    <w:p w14:paraId="7AA0F0DF" w14:textId="77777777" w:rsidR="00AB52CF" w:rsidRDefault="00000000">
      <w:pPr>
        <w:pStyle w:val="Heading2"/>
        <w:pBdr>
          <w:bottom w:val="single" w:sz="2" w:space="0" w:color="0A7B6C"/>
        </w:pBdr>
      </w:pPr>
      <w:proofErr w:type="gramStart"/>
      <w:r>
        <w:t>7.2  Zero</w:t>
      </w:r>
      <w:proofErr w:type="gramEnd"/>
      <w:r>
        <w:t>-CSV-Dependency Design</w:t>
      </w:r>
    </w:p>
    <w:p w14:paraId="0B4586D6" w14:textId="77777777" w:rsidR="00AB52CF" w:rsidRDefault="00000000">
      <w:pPr>
        <w:spacing w:before="80" w:after="80"/>
      </w:pPr>
      <w:r>
        <w:t>A deliberate design decision was made to eliminate any dependency on the historical CSV file for generating predictions. This was motivated by a practical reality: the training dataset ends in December 2025. If a programme administrator uses the app in May 2026 or later, lag values and rolling statistics computed from the CSV would be five months stale — completely wrong inputs for the model.</w:t>
      </w:r>
    </w:p>
    <w:p w14:paraId="055281E8" w14:textId="77777777" w:rsidR="00AB52CF" w:rsidRDefault="00000000">
      <w:pPr>
        <w:spacing w:before="80" w:after="80"/>
      </w:pPr>
      <w:r>
        <w:t>The solution was to have users enter only what they naturally know from their daily operational report: the last 14 days of care load and today's pipeline figures (17 numbers total). The app derives all 30+ model features — rolling means, standard deviations, min/max, net flow, calendar features — purely from those 17 inputs. The prediction is valid for any date, any year, with no data file dependency.</w:t>
      </w:r>
    </w:p>
    <w:p w14:paraId="494E63AB" w14:textId="77777777" w:rsidR="00AB52CF" w:rsidRDefault="00000000">
      <w:pPr>
        <w:pStyle w:val="Heading2"/>
        <w:pBdr>
          <w:bottom w:val="single" w:sz="2" w:space="0" w:color="0A7B6C"/>
        </w:pBdr>
      </w:pPr>
      <w:proofErr w:type="gramStart"/>
      <w:r>
        <w:t>7.3  Scenario</w:t>
      </w:r>
      <w:proofErr w:type="gramEnd"/>
      <w:r>
        <w:t xml:space="preserve"> Comparison</w:t>
      </w:r>
    </w:p>
    <w:p w14:paraId="5F526E69" w14:textId="77777777" w:rsidR="00AB52CF" w:rsidRDefault="00000000">
      <w:pPr>
        <w:spacing w:before="80" w:after="80"/>
      </w:pPr>
      <w:r>
        <w:t>Both forecast pages include a scenario comparison view projecting the base-case prediction forward across a user-selected horizon (7–30 days) with Optimistic (–8%) and Pessimistic (+8%) bands. This directly addresses the project requirement for scenario comparison functionality and confidence interval visualisation.</w:t>
      </w:r>
    </w:p>
    <w:p w14:paraId="7862A36F" w14:textId="77777777" w:rsidR="00AB52CF" w:rsidRDefault="00000000">
      <w:r>
        <w:br w:type="page"/>
      </w:r>
    </w:p>
    <w:p w14:paraId="7B24CBBD" w14:textId="77777777" w:rsidR="00AB52CF" w:rsidRDefault="00000000">
      <w:pPr>
        <w:pStyle w:val="Heading1"/>
      </w:pPr>
      <w:r>
        <w:lastRenderedPageBreak/>
        <w:t>8. Discussion</w:t>
      </w:r>
    </w:p>
    <w:p w14:paraId="4DA8F996" w14:textId="77777777" w:rsidR="00AB52CF" w:rsidRDefault="00000000">
      <w:pPr>
        <w:pStyle w:val="Heading2"/>
        <w:pBdr>
          <w:bottom w:val="single" w:sz="2" w:space="0" w:color="0A7B6C"/>
        </w:pBdr>
      </w:pPr>
      <w:proofErr w:type="gramStart"/>
      <w:r>
        <w:t>8.1  The</w:t>
      </w:r>
      <w:proofErr w:type="gramEnd"/>
      <w:r>
        <w:t xml:space="preserve"> Window Selection Principle</w:t>
      </w:r>
    </w:p>
    <w:p w14:paraId="667BC6EE" w14:textId="77777777" w:rsidR="00AB52CF" w:rsidRDefault="00000000">
      <w:pPr>
        <w:spacing w:before="80" w:after="80"/>
      </w:pPr>
      <w:r>
        <w:t>The central methodological contribution of this project is the demonstration that training window selection is as important as model selection when structural breaks are present. This is not a new insight in econometrics or financial forecasting, but it is frequently overlooked in applied machine learning pipelines that default to using all available data.</w:t>
      </w:r>
    </w:p>
    <w:p w14:paraId="358B97B1" w14:textId="77777777" w:rsidR="00AB52CF" w:rsidRDefault="00000000">
      <w:pPr>
        <w:spacing w:before="80" w:after="80"/>
      </w:pPr>
      <w:r>
        <w:t xml:space="preserve">In this case, using all available data was actively harmful. The full-window </w:t>
      </w:r>
      <w:proofErr w:type="spellStart"/>
      <w:r>
        <w:t>XGBoost</w:t>
      </w:r>
      <w:proofErr w:type="spellEnd"/>
      <w:r>
        <w:t xml:space="preserve"> model performed 7.4× worse than the naïve baseline (MAE 40.66 vs 6.06) despite having access to more information. The recent-window </w:t>
      </w:r>
      <w:proofErr w:type="spellStart"/>
      <w:r>
        <w:t>XGBoost</w:t>
      </w:r>
      <w:proofErr w:type="spellEnd"/>
      <w:r>
        <w:t xml:space="preserve"> model, trained on approximately 30% of the available data, outperformed all nine other approaches. The lesson is clear: relevance of training data matters more than volume.</w:t>
      </w:r>
    </w:p>
    <w:p w14:paraId="4747251C" w14:textId="77777777" w:rsidR="00AB52CF" w:rsidRDefault="00000000">
      <w:pPr>
        <w:pStyle w:val="Heading2"/>
        <w:pBdr>
          <w:bottom w:val="single" w:sz="2" w:space="0" w:color="0A7B6C"/>
        </w:pBdr>
      </w:pPr>
      <w:proofErr w:type="gramStart"/>
      <w:r>
        <w:t>8.2  Why</w:t>
      </w:r>
      <w:proofErr w:type="gramEnd"/>
      <w:r>
        <w:t xml:space="preserve"> Statistical Models Failed</w:t>
      </w:r>
    </w:p>
    <w:p w14:paraId="0F678BC6" w14:textId="77777777" w:rsidR="00AB52CF" w:rsidRDefault="00000000">
      <w:pPr>
        <w:spacing w:before="80" w:after="80"/>
      </w:pPr>
      <w:r>
        <w:t>The failure of Exponential Smoothing, ARIMA, and SARIMA was not a failure of those methods — it was a failure to diagnose the data generating process before applying them. All three assume that the series is generated by a stationary or trend-stationary process. A permanent level shift of 66% violates this assumption fundamentally. A proper application of these methods would have required either detecting and modelling the break explicitly (e.g. via intervention analysis) or restricting training data to the post-break period — which is precisely what the recent-window approach achieves.</w:t>
      </w:r>
    </w:p>
    <w:p w14:paraId="1269F44A" w14:textId="77777777" w:rsidR="00AB52CF" w:rsidRDefault="00000000">
      <w:pPr>
        <w:pStyle w:val="Heading2"/>
        <w:pBdr>
          <w:bottom w:val="single" w:sz="2" w:space="0" w:color="0A7B6C"/>
        </w:pBdr>
      </w:pPr>
      <w:proofErr w:type="gramStart"/>
      <w:r>
        <w:t>8.3  Practical</w:t>
      </w:r>
      <w:proofErr w:type="gramEnd"/>
      <w:r>
        <w:t xml:space="preserve"> Implications</w:t>
      </w:r>
    </w:p>
    <w:p w14:paraId="05CD67B2" w14:textId="77777777" w:rsidR="00AB52CF" w:rsidRDefault="00000000">
      <w:pPr>
        <w:spacing w:before="80" w:after="80"/>
      </w:pPr>
      <w:r>
        <w:t>For HHS programme staff, the model provides three practical capabilities:</w:t>
      </w:r>
    </w:p>
    <w:p w14:paraId="340FBC9B" w14:textId="77777777" w:rsidR="00AB52CF" w:rsidRDefault="00000000">
      <w:pPr>
        <w:pStyle w:val="ListParagraph"/>
        <w:numPr>
          <w:ilvl w:val="0"/>
          <w:numId w:val="2"/>
        </w:numPr>
        <w:spacing w:before="60" w:after="60"/>
      </w:pPr>
      <w:r>
        <w:rPr>
          <w:b/>
          <w:bCs/>
        </w:rPr>
        <w:t xml:space="preserve">Next-day planning: </w:t>
      </w:r>
      <w:r>
        <w:t>MAE 5.48 means predictions are accurate to within 5–6 children on any given day — sufficient precision for staffing decisions.</w:t>
      </w:r>
    </w:p>
    <w:p w14:paraId="5AC34ED6" w14:textId="77777777" w:rsidR="00AB52CF" w:rsidRDefault="00000000">
      <w:pPr>
        <w:pStyle w:val="ListParagraph"/>
        <w:numPr>
          <w:ilvl w:val="0"/>
          <w:numId w:val="2"/>
        </w:numPr>
        <w:spacing w:before="60" w:after="60"/>
      </w:pPr>
      <w:r>
        <w:rPr>
          <w:b/>
          <w:bCs/>
        </w:rPr>
        <w:t xml:space="preserve">Scenario planning: </w:t>
      </w:r>
      <w:r>
        <w:t>The ±8% scenario bands translate to a capacity planning range of approximately ±185 bed-days per month at the current care level of ~2,300.</w:t>
      </w:r>
    </w:p>
    <w:p w14:paraId="11B4615B" w14:textId="77777777" w:rsidR="00AB52CF" w:rsidRDefault="00000000">
      <w:pPr>
        <w:pStyle w:val="ListParagraph"/>
        <w:numPr>
          <w:ilvl w:val="0"/>
          <w:numId w:val="2"/>
        </w:numPr>
        <w:spacing w:before="60" w:after="60"/>
      </w:pPr>
      <w:r>
        <w:rPr>
          <w:b/>
          <w:bCs/>
        </w:rPr>
        <w:t xml:space="preserve">Surge detection: </w:t>
      </w:r>
      <w:r>
        <w:t>The early warning system provides at minimum one day of advance notice for care load changes, with the high lag-1 autocorrelation ensuring that any sustained increase will trigger the stress alert before reaching the critical threshold.</w:t>
      </w:r>
    </w:p>
    <w:p w14:paraId="50078BF7" w14:textId="77777777" w:rsidR="00AB52CF" w:rsidRDefault="00000000">
      <w:pPr>
        <w:pStyle w:val="Heading2"/>
        <w:pBdr>
          <w:bottom w:val="single" w:sz="2" w:space="0" w:color="0A7B6C"/>
        </w:pBdr>
      </w:pPr>
      <w:proofErr w:type="gramStart"/>
      <w:r>
        <w:t>8.4  Limitations</w:t>
      </w:r>
      <w:proofErr w:type="gramEnd"/>
    </w:p>
    <w:p w14:paraId="4C916D81" w14:textId="77777777" w:rsidR="00AB52CF" w:rsidRDefault="00000000">
      <w:pPr>
        <w:pStyle w:val="ListParagraph"/>
        <w:numPr>
          <w:ilvl w:val="0"/>
          <w:numId w:val="2"/>
        </w:numPr>
        <w:spacing w:before="60" w:after="60"/>
      </w:pPr>
      <w:r>
        <w:rPr>
          <w:b/>
          <w:bCs/>
        </w:rPr>
        <w:t xml:space="preserve">Regime dependency: </w:t>
      </w:r>
      <w:r>
        <w:t>The model is calibrated to the post-January 2025 regime. If care load returns to pre-2025 levels, the model must be retrained.</w:t>
      </w:r>
    </w:p>
    <w:p w14:paraId="0222C17D" w14:textId="77777777" w:rsidR="00AB52CF" w:rsidRDefault="00000000">
      <w:pPr>
        <w:pStyle w:val="ListParagraph"/>
        <w:numPr>
          <w:ilvl w:val="0"/>
          <w:numId w:val="2"/>
        </w:numPr>
        <w:spacing w:before="60" w:after="60"/>
      </w:pPr>
      <w:r>
        <w:rPr>
          <w:b/>
          <w:bCs/>
        </w:rPr>
        <w:t xml:space="preserve">14-day input requirement: </w:t>
      </w:r>
      <w:r>
        <w:t>The prediction interface requires 14 days of manual input. In a production deployment, this should be replaced by an API connection to the HHS data system.</w:t>
      </w:r>
    </w:p>
    <w:p w14:paraId="0A6580CD" w14:textId="77777777" w:rsidR="00AB52CF" w:rsidRDefault="00000000">
      <w:pPr>
        <w:pStyle w:val="ListParagraph"/>
        <w:numPr>
          <w:ilvl w:val="0"/>
          <w:numId w:val="2"/>
        </w:numPr>
        <w:spacing w:before="60" w:after="60"/>
      </w:pPr>
      <w:r>
        <w:rPr>
          <w:b/>
          <w:bCs/>
        </w:rPr>
        <w:t xml:space="preserve">No external signals: </w:t>
      </w:r>
      <w:r>
        <w:t>The model uses only internal programme metrics. Border policy changes, seasonal migration patterns, and geopolitical events are not captured.</w:t>
      </w:r>
    </w:p>
    <w:p w14:paraId="730AE847" w14:textId="77777777" w:rsidR="00AB52CF" w:rsidRDefault="00000000">
      <w:pPr>
        <w:pStyle w:val="ListParagraph"/>
        <w:numPr>
          <w:ilvl w:val="0"/>
          <w:numId w:val="2"/>
        </w:numPr>
        <w:spacing w:before="60" w:after="60"/>
      </w:pPr>
      <w:r>
        <w:rPr>
          <w:b/>
          <w:bCs/>
        </w:rPr>
        <w:t xml:space="preserve">Single-step prediction: </w:t>
      </w:r>
      <w:r>
        <w:t>The model produces next-day predictions only. Multi-step forecasting with walk-forward validation would improve longer-horizon utility.</w:t>
      </w:r>
    </w:p>
    <w:p w14:paraId="047DD849" w14:textId="77777777" w:rsidR="00AB52CF" w:rsidRDefault="00000000">
      <w:r>
        <w:br w:type="page"/>
      </w:r>
    </w:p>
    <w:p w14:paraId="6ADF0D75" w14:textId="77777777" w:rsidR="00AB52CF" w:rsidRDefault="00000000">
      <w:pPr>
        <w:pStyle w:val="Heading1"/>
      </w:pPr>
      <w:r>
        <w:lastRenderedPageBreak/>
        <w:t>9. Conclusion</w:t>
      </w:r>
    </w:p>
    <w:p w14:paraId="0A143067" w14:textId="77777777" w:rsidR="00AB52CF" w:rsidRDefault="00000000">
      <w:pPr>
        <w:spacing w:before="80" w:after="80"/>
      </w:pPr>
      <w:r>
        <w:t xml:space="preserve">This project delivered a complete, production-ready forecasting system for the HHS UAC Programme. Starting from 720 real operational records, a systematic nine-model evaluation identified both the failure modes (structural break anchoring in statistical and full-window ML models) and the solution (recent-window retraining). The winning model — </w:t>
      </w:r>
      <w:proofErr w:type="spellStart"/>
      <w:r>
        <w:t>XGBoost</w:t>
      </w:r>
      <w:proofErr w:type="spellEnd"/>
      <w:r>
        <w:t xml:space="preserve"> trained on June 2024 onwards — achieves MAE 5.48 and MAPE 0.23% on the </w:t>
      </w:r>
      <w:proofErr w:type="spellStart"/>
      <w:r>
        <w:t>care</w:t>
      </w:r>
      <w:proofErr w:type="spellEnd"/>
      <w:r>
        <w:t xml:space="preserve"> load forecasting task, representing a 9.6% improvement over the naïve persistence baseline.</w:t>
      </w:r>
    </w:p>
    <w:p w14:paraId="43918C4D" w14:textId="77777777" w:rsidR="00AB52CF" w:rsidRDefault="00000000">
      <w:pPr>
        <w:spacing w:before="80" w:after="80"/>
      </w:pPr>
      <w:r>
        <w:t>The discharge demand model achieves MAE 0.63 children per day — less than one child per day in prediction error — providing programme coordinators with reliable placement capacity estimates.</w:t>
      </w:r>
    </w:p>
    <w:p w14:paraId="41C0383E" w14:textId="77777777" w:rsidR="00AB52CF" w:rsidRDefault="00000000">
      <w:pPr>
        <w:spacing w:before="80" w:after="80"/>
      </w:pPr>
      <w:r>
        <w:t xml:space="preserve">Both models are operationalised in a </w:t>
      </w:r>
      <w:proofErr w:type="spellStart"/>
      <w:r>
        <w:t>Streamlit</w:t>
      </w:r>
      <w:proofErr w:type="spellEnd"/>
      <w:r>
        <w:t xml:space="preserve"> dashboard that accepts live operational inputs from any future date, with no dependency on the historical training dataset. The dashboard includes an early warning system with three alert levels, a scenario comparison view, and a complete model performance analysis page.</w:t>
      </w:r>
    </w:p>
    <w:p w14:paraId="063A8D4D" w14:textId="77777777" w:rsidR="00AB52CF" w:rsidRDefault="00000000">
      <w:pPr>
        <w:spacing w:before="80" w:after="80"/>
      </w:pPr>
      <w:r>
        <w:t>The broader methodological lesson — that training window selection can matter more than model selection in the presence of structural breaks — is applicable to any forecasting domain where abrupt regime changes are possible: public health, financial markets, supply chains, and other government programme metrics.</w:t>
      </w:r>
    </w:p>
    <w:p w14:paraId="0F4B703C" w14:textId="77777777" w:rsidR="00AB52CF" w:rsidRDefault="00AB52CF">
      <w:pPr>
        <w:spacing w:before="40"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AB52CF" w14:paraId="6C801F3D" w14:textId="77777777">
        <w:tblPrEx>
          <w:tblCellMar>
            <w:top w:w="0" w:type="dxa"/>
            <w:bottom w:w="0" w:type="dxa"/>
          </w:tblCellMar>
        </w:tblPrEx>
        <w:tc>
          <w:tcPr>
            <w:tcW w:w="9360" w:type="dxa"/>
            <w:tcBorders>
              <w:top w:val="single" w:sz="6" w:space="0" w:color="0A7B6C"/>
              <w:left w:val="thick" w:sz="12" w:space="0" w:color="0A7B6C"/>
              <w:bottom w:val="none" w:sz="0" w:space="0" w:color="FFFFFF"/>
              <w:right w:val="none" w:sz="0" w:space="0" w:color="FFFFFF"/>
            </w:tcBorders>
            <w:shd w:val="clear" w:color="auto" w:fill="E6FFF9"/>
            <w:tcMar>
              <w:top w:w="120" w:type="dxa"/>
              <w:left w:w="200" w:type="dxa"/>
              <w:bottom w:w="120" w:type="dxa"/>
              <w:right w:w="120" w:type="dxa"/>
            </w:tcMar>
          </w:tcPr>
          <w:p w14:paraId="5C1D562F" w14:textId="77777777" w:rsidR="00AB52CF" w:rsidRDefault="00000000">
            <w:r>
              <w:rPr>
                <w:i/>
                <w:iCs/>
                <w:color w:val="2D3748"/>
              </w:rPr>
              <w:t>The best model is not always the most complex one. Sometimes, it is the one trained on the right data — even if that means discarding most of what you have.</w:t>
            </w:r>
          </w:p>
        </w:tc>
      </w:tr>
    </w:tbl>
    <w:p w14:paraId="0A3B6305" w14:textId="77777777" w:rsidR="00AB52CF" w:rsidRDefault="00000000">
      <w:r>
        <w:br w:type="page"/>
      </w:r>
    </w:p>
    <w:p w14:paraId="23527409" w14:textId="77777777" w:rsidR="00AB52CF" w:rsidRDefault="00000000">
      <w:pPr>
        <w:pStyle w:val="Heading1"/>
      </w:pPr>
      <w:r>
        <w:lastRenderedPageBreak/>
        <w:t>References</w:t>
      </w:r>
    </w:p>
    <w:p w14:paraId="2D3A401B" w14:textId="77777777" w:rsidR="00AB52CF" w:rsidRDefault="00000000">
      <w:pPr>
        <w:spacing w:before="80" w:after="80"/>
      </w:pPr>
      <w:r>
        <w:t xml:space="preserve">[1] Chen, T., &amp; </w:t>
      </w:r>
      <w:proofErr w:type="spellStart"/>
      <w:r>
        <w:t>Guestrin</w:t>
      </w:r>
      <w:proofErr w:type="spellEnd"/>
      <w:r>
        <w:t xml:space="preserve">, C. (2016). </w:t>
      </w:r>
      <w:proofErr w:type="spellStart"/>
      <w:r>
        <w:t>XGBoost</w:t>
      </w:r>
      <w:proofErr w:type="spellEnd"/>
      <w:r>
        <w:t>: A scalable tree boosting system. Proceedings of the 22nd ACM SIGKDD International Conference on Knowledge Discovery and Data Mining.</w:t>
      </w:r>
    </w:p>
    <w:p w14:paraId="2EBA268C" w14:textId="77777777" w:rsidR="00AB52CF" w:rsidRDefault="00000000">
      <w:pPr>
        <w:spacing w:before="80" w:after="80"/>
      </w:pPr>
      <w:r>
        <w:t>[2] Box, G. E. P., Jenkins, G. M., Reinsel, G. C., &amp; Ljung, G. M. (2015). Time Series Analysis: Forecasting and Control (5th ed.). Wiley.</w:t>
      </w:r>
    </w:p>
    <w:p w14:paraId="3665A16D" w14:textId="77777777" w:rsidR="00AB52CF" w:rsidRDefault="00000000">
      <w:pPr>
        <w:spacing w:before="80" w:after="80"/>
      </w:pPr>
      <w:r>
        <w:t>[3] Holt, C. C. (2004). Forecasting seasonals and trends by exponentially weighted moving averages. International Journal of Forecasting, 20(1), 5–10.</w:t>
      </w:r>
    </w:p>
    <w:p w14:paraId="73EEA0E5" w14:textId="77777777" w:rsidR="00AB52CF" w:rsidRDefault="00000000">
      <w:pPr>
        <w:spacing w:before="80" w:after="80"/>
      </w:pPr>
      <w:r>
        <w:t xml:space="preserve">[4] </w:t>
      </w:r>
      <w:proofErr w:type="spellStart"/>
      <w:r>
        <w:t>Zeileis</w:t>
      </w:r>
      <w:proofErr w:type="spellEnd"/>
      <w:r>
        <w:t>, A., Kleiber, C., Krämer, W., &amp; Hornik, K. (2003). Testing and dating of structural changes in practice. Computational Statistics &amp; Data Analysis, 44(1–2), 109–123.</w:t>
      </w:r>
    </w:p>
    <w:p w14:paraId="249F6A47" w14:textId="77777777" w:rsidR="00AB52CF" w:rsidRDefault="00000000">
      <w:pPr>
        <w:spacing w:before="80" w:after="80"/>
      </w:pPr>
      <w:r>
        <w:t>[5] Pedregosa, F., et al. (2011). Scikit-learn: Machine learning in Python. Journal of Machine Learning Research, 12, 2825–2830.</w:t>
      </w:r>
    </w:p>
    <w:p w14:paraId="12BCEDA7" w14:textId="77777777" w:rsidR="00AB52CF" w:rsidRDefault="00000000">
      <w:pPr>
        <w:spacing w:before="80" w:after="80"/>
      </w:pPr>
      <w:r>
        <w:t xml:space="preserve">[6] Hyndman, R. J., &amp; Athanasopoulos, G. (2021). Forecasting: Principles and Practice (3rd ed.). </w:t>
      </w:r>
      <w:proofErr w:type="spellStart"/>
      <w:r>
        <w:t>OTexts</w:t>
      </w:r>
      <w:proofErr w:type="spellEnd"/>
      <w:r>
        <w:t>. Available at: https://otexts.com/fpp3/</w:t>
      </w:r>
    </w:p>
    <w:p w14:paraId="74F5DA8F" w14:textId="77777777" w:rsidR="00AB52CF" w:rsidRDefault="00000000">
      <w:pPr>
        <w:spacing w:before="80" w:after="80"/>
      </w:pPr>
      <w:r>
        <w:t>[7] HHS Office of Refugee Resettlement. UAC Program Data. U.S. Department of Health &amp; Human Services. Available at: https://www.hhs.gov/programs/social-services/unaccompanied-children/index.html</w:t>
      </w:r>
    </w:p>
    <w:p w14:paraId="16CE9750" w14:textId="77777777" w:rsidR="00AB52CF" w:rsidRDefault="00000000">
      <w:pPr>
        <w:spacing w:before="80" w:after="80"/>
      </w:pPr>
      <w:r>
        <w:t xml:space="preserve">[8] </w:t>
      </w:r>
      <w:proofErr w:type="spellStart"/>
      <w:r>
        <w:t>Streamlit</w:t>
      </w:r>
      <w:proofErr w:type="spellEnd"/>
      <w:r>
        <w:t xml:space="preserve"> Inc. (2024). </w:t>
      </w:r>
      <w:proofErr w:type="spellStart"/>
      <w:r>
        <w:t>Streamlit</w:t>
      </w:r>
      <w:proofErr w:type="spellEnd"/>
      <w:r>
        <w:t>: A faster way to build and share data apps. Available at: https://streamlit.io</w:t>
      </w:r>
    </w:p>
    <w:p w14:paraId="0E8F992E" w14:textId="77777777" w:rsidR="00AB52CF" w:rsidRDefault="00AB52CF">
      <w:pPr>
        <w:spacing w:before="40" w:after="40"/>
      </w:pPr>
    </w:p>
    <w:p w14:paraId="35F42745" w14:textId="77777777" w:rsidR="00AB52CF" w:rsidRDefault="00AB52CF">
      <w:pPr>
        <w:pBdr>
          <w:bottom w:val="single" w:sz="3" w:space="0" w:color="CBD5E0"/>
        </w:pBdr>
        <w:spacing w:before="160" w:after="160"/>
      </w:pPr>
    </w:p>
    <w:p w14:paraId="72934653" w14:textId="77777777" w:rsidR="00AB52CF" w:rsidRDefault="00000000">
      <w:pPr>
        <w:spacing w:before="120" w:after="60"/>
        <w:jc w:val="center"/>
      </w:pPr>
      <w:r>
        <w:rPr>
          <w:i/>
          <w:iCs/>
          <w:color w:val="718096"/>
          <w:sz w:val="20"/>
          <w:szCs w:val="20"/>
        </w:rPr>
        <w:t>— End of Paper —</w:t>
      </w:r>
    </w:p>
    <w:p w14:paraId="16FDCA34" w14:textId="77777777" w:rsidR="00AB52CF" w:rsidRDefault="00000000">
      <w:pPr>
        <w:spacing w:before="60" w:after="60"/>
        <w:jc w:val="center"/>
      </w:pPr>
      <w:r>
        <w:rPr>
          <w:color w:val="A0AEC0"/>
          <w:sz w:val="18"/>
          <w:szCs w:val="18"/>
        </w:rPr>
        <w:t xml:space="preserve">Unified Mentor Internship </w:t>
      </w:r>
      <w:proofErr w:type="gramStart"/>
      <w:r>
        <w:rPr>
          <w:color w:val="A0AEC0"/>
          <w:sz w:val="18"/>
          <w:szCs w:val="18"/>
        </w:rPr>
        <w:t>Project  |</w:t>
      </w:r>
      <w:proofErr w:type="gramEnd"/>
      <w:r>
        <w:rPr>
          <w:color w:val="A0AEC0"/>
          <w:sz w:val="18"/>
          <w:szCs w:val="18"/>
        </w:rPr>
        <w:t xml:space="preserve">  March 2026</w:t>
      </w:r>
    </w:p>
    <w:sectPr w:rsidR="00AB52CF">
      <w:footerReference w:type="default" r:id="rId7"/>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6F36C42" w14:textId="77777777" w:rsidR="00024E3F" w:rsidRDefault="00024E3F">
      <w:r>
        <w:separator/>
      </w:r>
    </w:p>
  </w:endnote>
  <w:endnote w:type="continuationSeparator" w:id="0">
    <w:p w14:paraId="64977EBB" w14:textId="77777777" w:rsidR="00024E3F" w:rsidRDefault="00024E3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E83B38" w14:textId="77777777" w:rsidR="00AB52CF" w:rsidRDefault="00000000">
    <w:pPr>
      <w:jc w:val="center"/>
    </w:pPr>
    <w:r>
      <w:rPr>
        <w:color w:val="718096"/>
        <w:sz w:val="18"/>
        <w:szCs w:val="18"/>
      </w:rPr>
      <w:t xml:space="preserve">Predictive Forecasting of UAC Care Load &amp; Placement </w:t>
    </w:r>
    <w:proofErr w:type="gramStart"/>
    <w:r>
      <w:rPr>
        <w:color w:val="718096"/>
        <w:sz w:val="18"/>
        <w:szCs w:val="18"/>
      </w:rPr>
      <w:t>Demand  |</w:t>
    </w:r>
    <w:proofErr w:type="gramEnd"/>
    <w:r>
      <w:rPr>
        <w:color w:val="718096"/>
        <w:sz w:val="18"/>
        <w:szCs w:val="18"/>
      </w:rPr>
      <w:t xml:space="preserve">  Unified </w:t>
    </w:r>
    <w:proofErr w:type="gramStart"/>
    <w:r>
      <w:rPr>
        <w:color w:val="718096"/>
        <w:sz w:val="18"/>
        <w:szCs w:val="18"/>
      </w:rPr>
      <w:t>Mentor  |</w:t>
    </w:r>
    <w:proofErr w:type="gramEnd"/>
    <w:r>
      <w:rPr>
        <w:color w:val="718096"/>
        <w:sz w:val="18"/>
        <w:szCs w:val="18"/>
      </w:rPr>
      <w:t xml:space="preserve">  Page </w:t>
    </w:r>
    <w:r>
      <w:rPr>
        <w:color w:val="718096"/>
        <w:sz w:val="18"/>
        <w:szCs w:val="18"/>
      </w:rPr>
      <w:fldChar w:fldCharType="begin"/>
    </w:r>
    <w:r>
      <w:rPr>
        <w:color w:val="718096"/>
        <w:sz w:val="18"/>
        <w:szCs w:val="18"/>
      </w:rPr>
      <w:instrText>PAGE</w:instrText>
    </w:r>
    <w:r>
      <w:rPr>
        <w:color w:val="718096"/>
        <w:sz w:val="18"/>
        <w:szCs w:val="18"/>
      </w:rPr>
      <w:fldChar w:fldCharType="separate"/>
    </w:r>
    <w:r w:rsidR="00B75A5E">
      <w:rPr>
        <w:noProof/>
        <w:color w:val="718096"/>
        <w:sz w:val="18"/>
        <w:szCs w:val="18"/>
      </w:rPr>
      <w:t>1</w:t>
    </w:r>
    <w:r>
      <w:rPr>
        <w:color w:val="718096"/>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104A3F9" w14:textId="77777777" w:rsidR="00024E3F" w:rsidRDefault="00024E3F">
      <w:r>
        <w:separator/>
      </w:r>
    </w:p>
  </w:footnote>
  <w:footnote w:type="continuationSeparator" w:id="0">
    <w:p w14:paraId="3F1C10BF" w14:textId="77777777" w:rsidR="00024E3F" w:rsidRDefault="00024E3F">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F61620"/>
    <w:multiLevelType w:val="hybridMultilevel"/>
    <w:tmpl w:val="11569598"/>
    <w:lvl w:ilvl="0" w:tplc="4B846B0E">
      <w:start w:val="1"/>
      <w:numFmt w:val="bullet"/>
      <w:lvlText w:val="●"/>
      <w:lvlJc w:val="left"/>
      <w:pPr>
        <w:ind w:left="720" w:hanging="360"/>
      </w:pPr>
    </w:lvl>
    <w:lvl w:ilvl="1" w:tplc="6D1AF0EC">
      <w:start w:val="1"/>
      <w:numFmt w:val="bullet"/>
      <w:lvlText w:val="○"/>
      <w:lvlJc w:val="left"/>
      <w:pPr>
        <w:ind w:left="1440" w:hanging="360"/>
      </w:pPr>
    </w:lvl>
    <w:lvl w:ilvl="2" w:tplc="456E1F90">
      <w:start w:val="1"/>
      <w:numFmt w:val="bullet"/>
      <w:lvlText w:val="■"/>
      <w:lvlJc w:val="left"/>
      <w:pPr>
        <w:ind w:left="2160" w:hanging="360"/>
      </w:pPr>
    </w:lvl>
    <w:lvl w:ilvl="3" w:tplc="280E0F1C">
      <w:start w:val="1"/>
      <w:numFmt w:val="bullet"/>
      <w:lvlText w:val="●"/>
      <w:lvlJc w:val="left"/>
      <w:pPr>
        <w:ind w:left="2880" w:hanging="360"/>
      </w:pPr>
    </w:lvl>
    <w:lvl w:ilvl="4" w:tplc="1B643AA8">
      <w:start w:val="1"/>
      <w:numFmt w:val="bullet"/>
      <w:lvlText w:val="○"/>
      <w:lvlJc w:val="left"/>
      <w:pPr>
        <w:ind w:left="3600" w:hanging="360"/>
      </w:pPr>
    </w:lvl>
    <w:lvl w:ilvl="5" w:tplc="BE8A3A76">
      <w:start w:val="1"/>
      <w:numFmt w:val="bullet"/>
      <w:lvlText w:val="■"/>
      <w:lvlJc w:val="left"/>
      <w:pPr>
        <w:ind w:left="4320" w:hanging="360"/>
      </w:pPr>
    </w:lvl>
    <w:lvl w:ilvl="6" w:tplc="423C4E68">
      <w:start w:val="1"/>
      <w:numFmt w:val="bullet"/>
      <w:lvlText w:val="●"/>
      <w:lvlJc w:val="left"/>
      <w:pPr>
        <w:ind w:left="5040" w:hanging="360"/>
      </w:pPr>
    </w:lvl>
    <w:lvl w:ilvl="7" w:tplc="6FF43F56">
      <w:start w:val="1"/>
      <w:numFmt w:val="bullet"/>
      <w:lvlText w:val="●"/>
      <w:lvlJc w:val="left"/>
      <w:pPr>
        <w:ind w:left="5760" w:hanging="360"/>
      </w:pPr>
    </w:lvl>
    <w:lvl w:ilvl="8" w:tplc="4AAAC0C4">
      <w:start w:val="1"/>
      <w:numFmt w:val="bullet"/>
      <w:lvlText w:val="●"/>
      <w:lvlJc w:val="left"/>
      <w:pPr>
        <w:ind w:left="6480" w:hanging="360"/>
      </w:pPr>
    </w:lvl>
  </w:abstractNum>
  <w:abstractNum w:abstractNumId="1" w15:restartNumberingAfterBreak="0">
    <w:nsid w:val="4BB93E45"/>
    <w:multiLevelType w:val="hybridMultilevel"/>
    <w:tmpl w:val="58589E3C"/>
    <w:lvl w:ilvl="0" w:tplc="CE202B3A">
      <w:start w:val="1"/>
      <w:numFmt w:val="bullet"/>
      <w:lvlText w:val="•"/>
      <w:lvlJc w:val="left"/>
      <w:pPr>
        <w:ind w:left="720" w:hanging="360"/>
      </w:pPr>
    </w:lvl>
    <w:lvl w:ilvl="1" w:tplc="9F8A224E">
      <w:numFmt w:val="decimal"/>
      <w:lvlText w:val=""/>
      <w:lvlJc w:val="left"/>
    </w:lvl>
    <w:lvl w:ilvl="2" w:tplc="4CE8BB0E">
      <w:numFmt w:val="decimal"/>
      <w:lvlText w:val=""/>
      <w:lvlJc w:val="left"/>
    </w:lvl>
    <w:lvl w:ilvl="3" w:tplc="AF4A1942">
      <w:numFmt w:val="decimal"/>
      <w:lvlText w:val=""/>
      <w:lvlJc w:val="left"/>
    </w:lvl>
    <w:lvl w:ilvl="4" w:tplc="3F96F12A">
      <w:numFmt w:val="decimal"/>
      <w:lvlText w:val=""/>
      <w:lvlJc w:val="left"/>
    </w:lvl>
    <w:lvl w:ilvl="5" w:tplc="764A79EC">
      <w:numFmt w:val="decimal"/>
      <w:lvlText w:val=""/>
      <w:lvlJc w:val="left"/>
    </w:lvl>
    <w:lvl w:ilvl="6" w:tplc="B2CCA8D8">
      <w:numFmt w:val="decimal"/>
      <w:lvlText w:val=""/>
      <w:lvlJc w:val="left"/>
    </w:lvl>
    <w:lvl w:ilvl="7" w:tplc="F7B231A4">
      <w:numFmt w:val="decimal"/>
      <w:lvlText w:val=""/>
      <w:lvlJc w:val="left"/>
    </w:lvl>
    <w:lvl w:ilvl="8" w:tplc="EF0C2118">
      <w:numFmt w:val="decimal"/>
      <w:lvlText w:val=""/>
      <w:lvlJc w:val="left"/>
    </w:lvl>
  </w:abstractNum>
  <w:abstractNum w:abstractNumId="2" w15:restartNumberingAfterBreak="0">
    <w:nsid w:val="5E801034"/>
    <w:multiLevelType w:val="hybridMultilevel"/>
    <w:tmpl w:val="90269DB6"/>
    <w:lvl w:ilvl="0" w:tplc="F878B8F2">
      <w:start w:val="1"/>
      <w:numFmt w:val="decimal"/>
      <w:lvlText w:val="%1."/>
      <w:lvlJc w:val="left"/>
      <w:pPr>
        <w:ind w:left="720" w:hanging="360"/>
      </w:pPr>
    </w:lvl>
    <w:lvl w:ilvl="1" w:tplc="B02ABA04">
      <w:numFmt w:val="decimal"/>
      <w:lvlText w:val=""/>
      <w:lvlJc w:val="left"/>
    </w:lvl>
    <w:lvl w:ilvl="2" w:tplc="D54C6466">
      <w:numFmt w:val="decimal"/>
      <w:lvlText w:val=""/>
      <w:lvlJc w:val="left"/>
    </w:lvl>
    <w:lvl w:ilvl="3" w:tplc="157EF0F0">
      <w:numFmt w:val="decimal"/>
      <w:lvlText w:val=""/>
      <w:lvlJc w:val="left"/>
    </w:lvl>
    <w:lvl w:ilvl="4" w:tplc="F0FED056">
      <w:numFmt w:val="decimal"/>
      <w:lvlText w:val=""/>
      <w:lvlJc w:val="left"/>
    </w:lvl>
    <w:lvl w:ilvl="5" w:tplc="299A86A4">
      <w:numFmt w:val="decimal"/>
      <w:lvlText w:val=""/>
      <w:lvlJc w:val="left"/>
    </w:lvl>
    <w:lvl w:ilvl="6" w:tplc="AF7807B2">
      <w:numFmt w:val="decimal"/>
      <w:lvlText w:val=""/>
      <w:lvlJc w:val="left"/>
    </w:lvl>
    <w:lvl w:ilvl="7" w:tplc="82B60CF8">
      <w:numFmt w:val="decimal"/>
      <w:lvlText w:val=""/>
      <w:lvlJc w:val="left"/>
    </w:lvl>
    <w:lvl w:ilvl="8" w:tplc="E3EC6274">
      <w:numFmt w:val="decimal"/>
      <w:lvlText w:val=""/>
      <w:lvlJc w:val="left"/>
    </w:lvl>
  </w:abstractNum>
  <w:num w:numId="1" w16cid:durableId="1164541448">
    <w:abstractNumId w:val="0"/>
    <w:lvlOverride w:ilvl="0">
      <w:startOverride w:val="1"/>
    </w:lvlOverride>
  </w:num>
  <w:num w:numId="2" w16cid:durableId="2015377276">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B52CF"/>
    <w:rsid w:val="00024E3F"/>
    <w:rsid w:val="00AB52CF"/>
    <w:rsid w:val="00AC1C11"/>
    <w:rsid w:val="00B75A5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224BDD"/>
  <w15:docId w15:val="{B7793940-7457-4ABE-B71E-1C146095B80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color w:val="1A202C"/>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160"/>
      <w:outlineLvl w:val="0"/>
    </w:pPr>
    <w:rPr>
      <w:b/>
      <w:bCs/>
      <w:color w:val="0D1F3C"/>
      <w:sz w:val="36"/>
      <w:szCs w:val="36"/>
    </w:rPr>
  </w:style>
  <w:style w:type="paragraph" w:styleId="Heading2">
    <w:name w:val="heading 2"/>
    <w:uiPriority w:val="9"/>
    <w:unhideWhenUsed/>
    <w:qFormat/>
    <w:pPr>
      <w:spacing w:before="280" w:after="120"/>
      <w:outlineLvl w:val="1"/>
    </w:pPr>
    <w:rPr>
      <w:b/>
      <w:bCs/>
      <w:color w:val="0A7B6C"/>
      <w:sz w:val="28"/>
      <w:szCs w:val="28"/>
    </w:rPr>
  </w:style>
  <w:style w:type="paragraph" w:styleId="Heading3">
    <w:name w:val="heading 3"/>
    <w:uiPriority w:val="9"/>
    <w:semiHidden/>
    <w:unhideWhenUsed/>
    <w:qFormat/>
    <w:pPr>
      <w:spacing w:before="200" w:after="80"/>
      <w:outlineLvl w:val="2"/>
    </w:pPr>
    <w:rPr>
      <w:b/>
      <w:bCs/>
      <w:color w:val="1A2F4E"/>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6</TotalTime>
  <Pages>15</Pages>
  <Words>3565</Words>
  <Characters>20325</Characters>
  <Application>Microsoft Office Word</Application>
  <DocSecurity>0</DocSecurity>
  <Lines>169</Lines>
  <Paragraphs>47</Paragraphs>
  <ScaleCrop>false</ScaleCrop>
  <Company/>
  <LinksUpToDate>false</LinksUpToDate>
  <CharactersWithSpaces>23843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Sugnik Mondal</cp:lastModifiedBy>
  <cp:revision>2</cp:revision>
  <dcterms:created xsi:type="dcterms:W3CDTF">2026-03-08T06:22:00Z</dcterms:created>
  <dcterms:modified xsi:type="dcterms:W3CDTF">2026-03-08T11:43:00Z</dcterms:modified>
</cp:coreProperties>
</file>