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200" w:after="120"/>
        <w:jc w:val="center"/>
        <w:rPr>
          <w:lang w:val="es-ES"/>
        </w:rPr>
      </w:pPr>
      <w:r>
        <w:rPr>
          <w:lang w:val="es-ES"/>
        </w:rPr>
        <w:drawing>
          <wp:inline distT="0" distB="0" distL="0" distR="0">
            <wp:extent cx="1234440" cy="123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234440" cy="1234440"/>
                    </a:xfrm>
                    <a:prstGeom prst="rect">
                      <a:avLst/>
                    </a:prstGeom>
                    <a:noFill/>
                  </pic:spPr>
                </pic:pic>
              </a:graphicData>
            </a:graphic>
          </wp:inline>
        </w:drawing>
      </w:r>
    </w:p>
    <w:p>
      <w:pPr>
        <w:pStyle w:val="Normal"/>
        <w:spacing w:lineRule="auto" w:line="240" w:before="0" w:after="40"/>
        <w:jc w:val="center"/>
        <w:rPr>
          <w:lang w:val="es-ES"/>
        </w:rPr>
      </w:pPr>
      <w:r>
        <w:rPr>
          <w:b/>
          <w:color w:val="122954"/>
          <w:sz w:val="60"/>
          <w:lang w:val="es-ES"/>
        </w:rPr>
        <w:t>CATGIS DESKTOP</w:t>
      </w:r>
    </w:p>
    <w:p>
      <w:pPr>
        <w:pStyle w:val="Normal"/>
        <w:spacing w:lineRule="auto" w:line="240" w:before="0" w:after="240"/>
        <w:jc w:val="center"/>
        <w:rPr>
          <w:lang w:val="es-ES"/>
        </w:rPr>
      </w:pPr>
      <w:r>
        <w:rPr>
          <w:b/>
          <w:color w:val="1D3D6F"/>
          <w:sz w:val="44"/>
          <w:lang w:val="es-ES"/>
        </w:rPr>
        <w:t>MANUAL PROFESIONAL DE USUARIO 2026</w:t>
      </w:r>
    </w:p>
    <w:p>
      <w:pPr>
        <w:pStyle w:val="Normal"/>
        <w:spacing w:lineRule="auto" w:line="240" w:before="0" w:after="360"/>
        <w:jc w:val="center"/>
        <w:rPr>
          <w:lang w:val="es-ES"/>
        </w:rPr>
      </w:pPr>
      <w:r>
        <w:rPr>
          <w:color w:val="4A5F79"/>
          <w:sz w:val="25"/>
          <w:lang w:val="es-ES"/>
        </w:rPr>
        <w:t>Sistema de Información Geográfica para operación, edición, cartografía y análisis preliminar</w:t>
      </w:r>
    </w:p>
    <w:p>
      <w:pPr>
        <w:pStyle w:val="Normal"/>
        <w:pBdr>
          <w:bottom w:val="single" w:sz="8" w:space="1" w:color="D2DEE9"/>
        </w:pBdr>
        <w:spacing w:lineRule="auto" w:line="240" w:before="0" w:after="280"/>
        <w:rPr>
          <w:lang w:val="es-ES"/>
        </w:rPr>
      </w:pPr>
      <w:r>
        <w:rPr>
          <w:lang w:val="es-ES"/>
        </w:rPr>
      </w:r>
    </w:p>
    <w:p>
      <w:pPr>
        <w:pStyle w:val="Normal"/>
        <w:spacing w:lineRule="auto" w:line="276" w:before="0" w:after="160"/>
        <w:rPr>
          <w:lang w:val="es-ES"/>
        </w:rPr>
      </w:pPr>
      <w:r>
        <w:rPr>
          <w:b/>
          <w:color w:val="162F5C"/>
          <w:sz w:val="26"/>
          <w:lang w:val="es-ES"/>
        </w:rPr>
        <w:t>Contenido del manual</w:t>
      </w:r>
    </w:p>
    <w:p>
      <w:pPr>
        <w:pStyle w:val="ListBullet"/>
        <w:numPr>
          <w:ilvl w:val="0"/>
          <w:numId w:val="1"/>
        </w:numPr>
        <w:spacing w:lineRule="auto" w:line="276" w:before="0" w:after="60"/>
        <w:ind w:hanging="360" w:start="113"/>
        <w:contextualSpacing/>
        <w:rPr>
          <w:lang w:val="es-ES"/>
        </w:rPr>
      </w:pPr>
      <w:r>
        <w:rPr>
          <w:sz w:val="21"/>
          <w:lang w:val="es-ES"/>
        </w:rPr>
        <w:t>Interfaz principal y lógica operativa de CATGIS.</w:t>
      </w:r>
    </w:p>
    <w:p>
      <w:pPr>
        <w:pStyle w:val="ListBullet"/>
        <w:numPr>
          <w:ilvl w:val="0"/>
          <w:numId w:val="1"/>
        </w:numPr>
        <w:spacing w:lineRule="auto" w:line="276" w:before="0" w:after="60"/>
        <w:ind w:hanging="360" w:start="113"/>
        <w:contextualSpacing/>
        <w:rPr>
          <w:lang w:val="es-ES"/>
        </w:rPr>
      </w:pPr>
      <w:r>
        <w:rPr>
          <w:sz w:val="21"/>
          <w:lang w:val="es-ES"/>
        </w:rPr>
        <w:t>Gestión de proyectos, capas, CRS, edición vectorial y herramientas CAD.</w:t>
      </w:r>
    </w:p>
    <w:p>
      <w:pPr>
        <w:pStyle w:val="ListBullet"/>
        <w:numPr>
          <w:ilvl w:val="0"/>
          <w:numId w:val="1"/>
        </w:numPr>
        <w:spacing w:lineRule="auto" w:line="276" w:before="0" w:after="60"/>
        <w:ind w:hanging="360" w:start="113"/>
        <w:contextualSpacing/>
        <w:rPr>
          <w:lang w:val="es-ES"/>
        </w:rPr>
      </w:pPr>
      <w:r>
        <w:rPr>
          <w:sz w:val="21"/>
          <w:lang w:val="es-ES"/>
        </w:rPr>
        <w:t>Geoprocesamiento, topografía, hidrología, inundación preliminar, suelos online y riesgo booleano preliminar.</w:t>
      </w:r>
    </w:p>
    <w:p>
      <w:pPr>
        <w:pStyle w:val="ListBullet"/>
        <w:numPr>
          <w:ilvl w:val="0"/>
          <w:numId w:val="1"/>
        </w:numPr>
        <w:spacing w:lineRule="auto" w:line="276" w:before="0" w:after="60"/>
        <w:ind w:hanging="360" w:start="113"/>
        <w:contextualSpacing/>
        <w:rPr>
          <w:lang w:val="es-ES"/>
        </w:rPr>
      </w:pPr>
      <w:r>
        <w:rPr>
          <w:sz w:val="21"/>
          <w:lang w:val="es-ES"/>
        </w:rPr>
        <w:t>Workspace cartográfico CATMAP y criterios de salida final.</w:t>
      </w:r>
    </w:p>
    <w:p>
      <w:pPr>
        <w:pStyle w:val="ListBullet"/>
        <w:numPr>
          <w:ilvl w:val="0"/>
          <w:numId w:val="1"/>
        </w:numPr>
        <w:spacing w:lineRule="auto" w:line="276" w:before="0" w:after="60"/>
        <w:ind w:hanging="360" w:start="113"/>
        <w:contextualSpacing/>
        <w:rPr>
          <w:lang w:val="es-ES"/>
        </w:rPr>
      </w:pPr>
      <w:r>
        <w:rPr>
          <w:sz w:val="21"/>
          <w:lang w:val="es-ES"/>
        </w:rPr>
        <w:t>Anexo gráfico con símbolos e iconos reales de la interfaz.</w:t>
      </w:r>
    </w:p>
    <w:tbl>
      <w:tblPr>
        <w:tblW w:w="963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819"/>
        <w:gridCol w:w="4819"/>
      </w:tblGrid>
      <w:tr>
        <w:trPr/>
        <w:tc>
          <w:tcPr>
            <w:tcW w:w="4819" w:type="dxa"/>
            <w:tcBorders>
              <w:top w:val="single" w:sz="8" w:space="0" w:color="D8E3EE"/>
              <w:start w:val="single" w:sz="8" w:space="0" w:color="D8E3EE"/>
              <w:bottom w:val="single" w:sz="8" w:space="0" w:color="D8E3EE"/>
              <w:end w:val="single" w:sz="8" w:space="0" w:color="D8E3EE"/>
            </w:tcBorders>
            <w:shd w:fill="EEF5FB" w:val="clear"/>
            <w:vAlign w:val="center"/>
          </w:tcPr>
          <w:p>
            <w:pPr>
              <w:pStyle w:val="Normal"/>
              <w:spacing w:lineRule="auto" w:line="264" w:before="20" w:after="20"/>
              <w:rPr>
                <w:lang w:val="es-ES"/>
              </w:rPr>
            </w:pPr>
            <w:r>
              <w:rPr>
                <w:b/>
                <w:color w:val="162F5C"/>
                <w:sz w:val="21"/>
                <w:lang w:val="es-ES"/>
              </w:rPr>
              <w:t>Versión de referencia</w:t>
            </w:r>
          </w:p>
        </w:tc>
        <w:tc>
          <w:tcPr>
            <w:tcW w:w="4819" w:type="dxa"/>
            <w:tcBorders>
              <w:top w:val="single" w:sz="8" w:space="0" w:color="D8E3EE"/>
              <w:start w:val="single" w:sz="8" w:space="0" w:color="D8E3EE"/>
              <w:bottom w:val="single" w:sz="8" w:space="0" w:color="D8E3EE"/>
              <w:end w:val="single" w:sz="8" w:space="0" w:color="D8E3EE"/>
            </w:tcBorders>
            <w:vAlign w:val="center"/>
          </w:tcPr>
          <w:p>
            <w:pPr>
              <w:pStyle w:val="Normal"/>
              <w:spacing w:lineRule="auto" w:line="264" w:before="20" w:after="20"/>
              <w:rPr>
                <w:lang w:val="es-ES"/>
              </w:rPr>
            </w:pPr>
            <w:r>
              <w:rPr>
                <w:color w:val="2C3543"/>
                <w:sz w:val="21"/>
                <w:lang w:val="es-ES"/>
              </w:rPr>
              <w:t>1.0.0 Beta final (rev. 14)</w:t>
            </w:r>
          </w:p>
        </w:tc>
      </w:tr>
      <w:tr>
        <w:trPr/>
        <w:tc>
          <w:tcPr>
            <w:tcW w:w="4819" w:type="dxa"/>
            <w:tcBorders>
              <w:top w:val="single" w:sz="8" w:space="0" w:color="D8E3EE"/>
              <w:start w:val="single" w:sz="8" w:space="0" w:color="D8E3EE"/>
              <w:bottom w:val="single" w:sz="8" w:space="0" w:color="D8E3EE"/>
              <w:end w:val="single" w:sz="8" w:space="0" w:color="D8E3EE"/>
            </w:tcBorders>
            <w:shd w:fill="EEF5FB" w:val="clear"/>
            <w:vAlign w:val="center"/>
          </w:tcPr>
          <w:p>
            <w:pPr>
              <w:pStyle w:val="Normal"/>
              <w:spacing w:lineRule="auto" w:line="264" w:before="20" w:after="20"/>
              <w:rPr>
                <w:lang w:val="es-ES"/>
              </w:rPr>
            </w:pPr>
            <w:r>
              <w:rPr>
                <w:b/>
                <w:color w:val="162F5C"/>
                <w:sz w:val="21"/>
                <w:lang w:val="es-ES"/>
              </w:rPr>
              <w:t>Autor</w:t>
            </w:r>
          </w:p>
        </w:tc>
        <w:tc>
          <w:tcPr>
            <w:tcW w:w="4819" w:type="dxa"/>
            <w:tcBorders>
              <w:top w:val="single" w:sz="8" w:space="0" w:color="D8E3EE"/>
              <w:start w:val="single" w:sz="8" w:space="0" w:color="D8E3EE"/>
              <w:bottom w:val="single" w:sz="8" w:space="0" w:color="D8E3EE"/>
              <w:end w:val="single" w:sz="8" w:space="0" w:color="D8E3EE"/>
            </w:tcBorders>
            <w:vAlign w:val="center"/>
          </w:tcPr>
          <w:p>
            <w:pPr>
              <w:pStyle w:val="Normal"/>
              <w:spacing w:lineRule="auto" w:line="264" w:before="20" w:after="20"/>
              <w:rPr>
                <w:lang w:val="es-ES"/>
              </w:rPr>
            </w:pPr>
            <w:r>
              <w:rPr>
                <w:color w:val="2C3543"/>
                <w:sz w:val="21"/>
                <w:lang w:val="es-ES"/>
              </w:rPr>
              <w:t>Lic. Claudio Alejandro Tula</w:t>
            </w:r>
          </w:p>
        </w:tc>
      </w:tr>
      <w:tr>
        <w:trPr/>
        <w:tc>
          <w:tcPr>
            <w:tcW w:w="4819" w:type="dxa"/>
            <w:tcBorders>
              <w:top w:val="single" w:sz="8" w:space="0" w:color="D8E3EE"/>
              <w:start w:val="single" w:sz="8" w:space="0" w:color="D8E3EE"/>
              <w:bottom w:val="single" w:sz="8" w:space="0" w:color="D8E3EE"/>
              <w:end w:val="single" w:sz="8" w:space="0" w:color="D8E3EE"/>
            </w:tcBorders>
            <w:shd w:fill="EEF5FB" w:val="clear"/>
            <w:vAlign w:val="center"/>
          </w:tcPr>
          <w:p>
            <w:pPr>
              <w:pStyle w:val="Normal"/>
              <w:spacing w:lineRule="auto" w:line="264" w:before="20" w:after="20"/>
              <w:rPr>
                <w:lang w:val="es-ES"/>
              </w:rPr>
            </w:pPr>
            <w:r>
              <w:rPr>
                <w:b/>
                <w:color w:val="162F5C"/>
                <w:sz w:val="21"/>
                <w:lang w:val="es-ES"/>
              </w:rPr>
              <w:t>Carácter del documento</w:t>
            </w:r>
          </w:p>
        </w:tc>
        <w:tc>
          <w:tcPr>
            <w:tcW w:w="4819" w:type="dxa"/>
            <w:tcBorders>
              <w:top w:val="single" w:sz="8" w:space="0" w:color="D8E3EE"/>
              <w:start w:val="single" w:sz="8" w:space="0" w:color="D8E3EE"/>
              <w:bottom w:val="single" w:sz="8" w:space="0" w:color="D8E3EE"/>
              <w:end w:val="single" w:sz="8" w:space="0" w:color="D8E3EE"/>
            </w:tcBorders>
            <w:vAlign w:val="center"/>
          </w:tcPr>
          <w:p>
            <w:pPr>
              <w:pStyle w:val="Normal"/>
              <w:spacing w:lineRule="auto" w:line="264" w:before="20" w:after="20"/>
              <w:rPr>
                <w:lang w:val="es-ES"/>
              </w:rPr>
            </w:pPr>
            <w:r>
              <w:rPr>
                <w:color w:val="2C3543"/>
                <w:sz w:val="21"/>
                <w:lang w:val="es-ES"/>
              </w:rPr>
              <w:t>Documento técnico interno · edición PDF profesional</w:t>
            </w:r>
          </w:p>
        </w:tc>
      </w:tr>
    </w:tbl>
    <w:p>
      <w:pPr>
        <w:pStyle w:val="Normal"/>
        <w:spacing w:lineRule="auto" w:line="240" w:before="360" w:after="200"/>
        <w:jc w:val="center"/>
        <w:rPr>
          <w:lang w:val="es-ES"/>
        </w:rPr>
        <w:sectPr>
          <w:type w:val="nextPage"/>
          <w:pgSz w:w="11906" w:h="16838"/>
          <w:pgMar w:left="1134" w:right="1134" w:gutter="0" w:header="0" w:top="1020" w:footer="0" w:bottom="1020"/>
          <w:pgNumType w:fmt="decimal"/>
          <w:formProt w:val="false"/>
          <w:textDirection w:val="lrTb"/>
          <w:docGrid w:type="default" w:linePitch="360" w:charSpace="0"/>
        </w:sectPr>
      </w:pPr>
      <w:r>
        <w:rPr>
          <w:color w:val="636F7E"/>
          <w:sz w:val="22"/>
          <w:lang w:val="es-ES"/>
        </w:rPr>
        <w:t>Área de trabajo de Claudio Alejandro Tula</w:t>
      </w:r>
    </w:p>
    <w:p>
      <w:pPr>
        <w:pStyle w:val="Title"/>
        <w:spacing w:lineRule="auto" w:line="276" w:before="0" w:after="40"/>
        <w:contextualSpacing/>
        <w:rPr>
          <w:lang w:val="es-ES"/>
        </w:rPr>
      </w:pPr>
      <w:r>
        <w:rPr>
          <w:rFonts w:ascii="Segoe UI" w:hAnsi="Segoe UI"/>
          <w:lang w:val="es-ES"/>
        </w:rPr>
        <w:t>CATGIS Desktop</w:t>
      </w:r>
    </w:p>
    <w:p>
      <w:pPr>
        <w:pStyle w:val="Normal"/>
        <w:spacing w:lineRule="auto" w:line="276" w:before="0" w:after="160"/>
        <w:rPr>
          <w:lang w:val="es-ES"/>
        </w:rPr>
      </w:pPr>
      <w:r>
        <w:rPr>
          <w:b/>
          <w:color w:val="4A5F79"/>
          <w:sz w:val="26"/>
          <w:lang w:val="es-ES"/>
        </w:rPr>
        <w:t>Manual técnico de usuario 2026</w:t>
      </w:r>
    </w:p>
    <w:p>
      <w:pPr>
        <w:pStyle w:val="Normal"/>
        <w:spacing w:lineRule="auto" w:line="276" w:before="0" w:after="200"/>
        <w:rPr>
          <w:lang w:val="es-ES"/>
        </w:rPr>
      </w:pPr>
      <w:r>
        <w:rPr>
          <w:color w:val="4A5F79"/>
          <w:sz w:val="21"/>
          <w:lang w:val="es-ES"/>
        </w:rPr>
        <w:t>Versión de referencia: 1.0.0 Beta final (rev. 14)</w:t>
        <w:br/>
        <w:t>Autor: Lic. Claudio Alejandro Tula</w:t>
        <w:br/>
        <w:t>Colaboradores de revisión: Lic. Daniel Warton y Geólogo Federico Sanchez</w:t>
      </w:r>
    </w:p>
    <w:p>
      <w:pPr>
        <w:pStyle w:val="Normal"/>
        <w:spacing w:lineRule="auto" w:line="276" w:before="0" w:after="160"/>
        <w:rPr>
          <w:lang w:val="es-ES"/>
        </w:rPr>
      </w:pPr>
      <w:r>
        <w:rPr>
          <w:lang w:val="es-ES"/>
        </w:rPr>
        <w:t>Este manual sintetiza el estado funcional actual de CATGIS Desktop y organiza, en formato de referencia, la información operativa necesaria para trabajo técnico cotidiano. Se apoya en el contenido técnico del manual base, en capturas reales del sistema y en las láminas aprobadas de interfaz principal y de CATMAP.</w:t>
      </w:r>
    </w:p>
    <w:tbl>
      <w:tblPr>
        <w:tblW w:w="1009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092"/>
      </w:tblGrid>
      <w:tr>
        <w:trPr/>
        <w:tc>
          <w:tcPr>
            <w:tcW w:w="10092" w:type="dxa"/>
            <w:tcBorders>
              <w:top w:val="single" w:sz="10" w:space="0" w:color="D0E2F8"/>
              <w:start w:val="single" w:sz="10" w:space="0" w:color="D0E2F8"/>
              <w:bottom w:val="single" w:sz="10" w:space="0" w:color="D0E2F8"/>
              <w:end w:val="single" w:sz="10" w:space="0" w:color="D0E2F8"/>
            </w:tcBorders>
            <w:shd w:fill="F3F8FF" w:val="clear"/>
          </w:tcPr>
          <w:p>
            <w:pPr>
              <w:pStyle w:val="Normal"/>
              <w:spacing w:lineRule="auto" w:line="276" w:before="80" w:after="80"/>
              <w:jc w:val="start"/>
              <w:rPr>
                <w:lang w:val="es-ES"/>
              </w:rPr>
            </w:pPr>
            <w:r>
              <w:rPr>
                <w:b/>
                <w:color w:val="223E66"/>
                <w:lang w:val="es-ES"/>
              </w:rPr>
              <w:t xml:space="preserve">Alcance documental. </w:t>
            </w:r>
            <w:r>
              <w:rPr>
                <w:color w:val="374351"/>
                <w:lang w:val="es-ES"/>
              </w:rPr>
              <w:t>Esta edición integra las figuras aprobadas de la interfaz principal y del workspace CATMAP, conserva el anexo gráfico como atlas visual y organiza el contenido técnico en un formato más legible y estable.</w:t>
            </w:r>
          </w:p>
        </w:tc>
      </w:tr>
    </w:tbl>
    <w:p>
      <w:pPr>
        <w:pStyle w:val="Normal"/>
        <w:rPr>
          <w:lang w:val="es-ES"/>
        </w:rPr>
      </w:pPr>
      <w:r>
        <w:rPr>
          <w:lang w:val="es-ES"/>
        </w:rPr>
      </w:r>
    </w:p>
    <w:p>
      <w:pPr>
        <w:pStyle w:val="Heading1"/>
        <w:spacing w:lineRule="auto" w:line="276" w:before="0" w:after="120"/>
        <w:rPr>
          <w:lang w:val="es-ES"/>
        </w:rPr>
      </w:pPr>
      <w:r>
        <w:rPr>
          <w:rFonts w:ascii="Segoe UI" w:hAnsi="Segoe UI"/>
          <w:lang w:val="es-ES"/>
        </w:rPr>
        <w:t>Índice de contenidos</w:t>
      </w:r>
    </w:p>
    <w:tbl>
      <w:tblPr>
        <w:tblW w:w="10092" w:type="dxa"/>
        <w:jc w:val="start"/>
        <w:tblInd w:w="101" w:type="dxa"/>
        <w:tblLayout w:type="fixed"/>
        <w:tblCellMar>
          <w:top w:w="0" w:type="dxa"/>
          <w:start w:w="108" w:type="dxa"/>
          <w:bottom w:w="0" w:type="dxa"/>
          <w:end w:w="108" w:type="dxa"/>
        </w:tblCellMar>
        <w:tblLook w:firstRow="1" w:noVBand="1" w:lastRow="0" w:firstColumn="1" w:lastColumn="0" w:noHBand="0" w:val="04a0"/>
      </w:tblPr>
      <w:tblGrid>
        <w:gridCol w:w="5046"/>
        <w:gridCol w:w="5046"/>
      </w:tblGrid>
      <w:tr>
        <w:trPr/>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1. Presentación de CATGIS</w:t>
            </w:r>
          </w:p>
        </w:tc>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13. Topología y validación</w:t>
            </w:r>
          </w:p>
        </w:tc>
      </w:tr>
      <w:tr>
        <w:trPr/>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2. Alcance técnico del software</w:t>
            </w:r>
          </w:p>
        </w:tc>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14. Cartografía / CATMAP</w:t>
            </w:r>
          </w:p>
        </w:tc>
      </w:tr>
      <w:tr>
        <w:trPr/>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3. Estructura general de la interfaz</w:t>
            </w:r>
          </w:p>
        </w:tc>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15. DEM, relieve y topografía</w:t>
            </w:r>
          </w:p>
        </w:tc>
      </w:tr>
      <w:tr>
        <w:trPr/>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4. Menús principales</w:t>
            </w:r>
          </w:p>
        </w:tc>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16. Hidrología, escorrentía y cuencas</w:t>
            </w:r>
          </w:p>
        </w:tc>
      </w:tr>
      <w:tr>
        <w:trPr/>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5. Barras de herramientas principales</w:t>
            </w:r>
          </w:p>
        </w:tc>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17. Inundación preliminar</w:t>
            </w:r>
          </w:p>
        </w:tc>
      </w:tr>
      <w:tr>
        <w:trPr/>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6. Gestor de proyecto y panel de capas</w:t>
            </w:r>
          </w:p>
        </w:tc>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18. Suelos online</w:t>
            </w:r>
          </w:p>
        </w:tc>
      </w:tr>
      <w:tr>
        <w:trPr/>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7. Navegación y visualización</w:t>
            </w:r>
          </w:p>
        </w:tc>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19. Riesgo booleano preliminar</w:t>
            </w:r>
          </w:p>
        </w:tc>
      </w:tr>
      <w:tr>
        <w:trPr/>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8. Carga de datos</w:t>
            </w:r>
          </w:p>
        </w:tc>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20. Exportación y persistencia</w:t>
            </w:r>
          </w:p>
        </w:tc>
      </w:tr>
      <w:tr>
        <w:trPr/>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9. CRS y coordenadas</w:t>
            </w:r>
          </w:p>
        </w:tc>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21. Limitaciones y buenas prácticas</w:t>
            </w:r>
          </w:p>
        </w:tc>
      </w:tr>
      <w:tr>
        <w:trPr/>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10. Edición vectorial</w:t>
            </w:r>
          </w:p>
        </w:tc>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22. Glosario visual de iconos</w:t>
            </w:r>
          </w:p>
        </w:tc>
      </w:tr>
      <w:tr>
        <w:trPr/>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11. Herramientas CAD</w:t>
            </w:r>
          </w:p>
        </w:tc>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23. Flujos de trabajo recomendados</w:t>
            </w:r>
          </w:p>
        </w:tc>
      </w:tr>
      <w:tr>
        <w:trPr/>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sz w:val="21"/>
                <w:lang w:val="es-ES"/>
              </w:rPr>
              <w:t>12. Geoprocesamiento</w:t>
            </w:r>
          </w:p>
        </w:tc>
        <w:tc>
          <w:tcPr>
            <w:tcW w:w="5046" w:type="dxa"/>
            <w:tcBorders>
              <w:top w:val="single" w:sz="6" w:space="0" w:color="FFFFFF"/>
              <w:start w:val="single" w:sz="6" w:space="0" w:color="FFFFFF"/>
              <w:bottom w:val="single" w:sz="6" w:space="0" w:color="FFFFFF"/>
              <w:end w:val="single" w:sz="6" w:space="0" w:color="FFFFFF"/>
            </w:tcBorders>
          </w:tcPr>
          <w:p>
            <w:pPr>
              <w:pStyle w:val="Normal"/>
              <w:spacing w:lineRule="auto" w:line="240" w:before="0" w:after="20"/>
              <w:rPr>
                <w:lang w:val="es-ES"/>
              </w:rPr>
            </w:pPr>
            <w:r>
              <w:rPr>
                <w:lang w:val="es-ES"/>
              </w:rPr>
            </w:r>
          </w:p>
        </w:tc>
      </w:tr>
    </w:tbl>
    <w:p>
      <w:pPr>
        <w:pStyle w:val="Normal"/>
        <w:rPr>
          <w:lang w:val="es-ES"/>
        </w:rPr>
      </w:pPr>
      <w:r>
        <w:rPr>
          <w:lang w:val="es-ES"/>
        </w:rPr>
      </w:r>
      <w:r>
        <w:br w:type="page"/>
      </w:r>
    </w:p>
    <w:p>
      <w:pPr>
        <w:pStyle w:val="Heading1"/>
        <w:spacing w:lineRule="auto" w:line="240" w:before="0" w:after="80"/>
        <w:rPr>
          <w:lang w:val="es-ES"/>
        </w:rPr>
      </w:pPr>
      <w:r>
        <w:rPr>
          <w:lang w:val="es-ES"/>
        </w:rPr>
        <w:t>1. Presentación de CATGIS</w:t>
      </w:r>
    </w:p>
    <w:p>
      <w:pPr>
        <w:pStyle w:val="Normal"/>
        <w:spacing w:lineRule="auto" w:line="276" w:before="0" w:after="120"/>
        <w:rPr>
          <w:lang w:val="es-ES"/>
        </w:rPr>
      </w:pPr>
      <w:r>
        <w:rPr>
          <w:lang w:val="es-ES"/>
        </w:rPr>
        <w:t>CATGIS Desktop es un sistema de información geográfica de escritorio para Windows orientado a trabajo técnico cotidiano. Integra gestión de proyectos, carga de información vectorial y raster, edición con apoyo CAD, conexiones online, composición cartográfica, topografía, hidrología preliminar, suelos online y cruces temáticos iniciales.</w:t>
      </w:r>
    </w:p>
    <w:p>
      <w:pPr>
        <w:pStyle w:val="Normal"/>
        <w:spacing w:lineRule="auto" w:line="276" w:before="0" w:after="120"/>
        <w:rPr>
          <w:lang w:val="es-ES"/>
        </w:rPr>
      </w:pPr>
      <w:r>
        <w:rPr>
          <w:lang w:val="es-ES"/>
        </w:rPr>
        <w:t>No es un simple visor. Tampoco pretende reemplazar, en su estado actual, a todos los flujos especializados de software GIS o hidrológico de alto nivel. Su valor real está en concentrar tareas frecuentes en una misma interfaz coherente.</w:t>
      </w:r>
    </w:p>
    <w:p>
      <w:pPr>
        <w:pStyle w:val="Heading1"/>
        <w:spacing w:lineRule="auto" w:line="240" w:before="120" w:after="80"/>
        <w:rPr>
          <w:lang w:val="es-ES"/>
        </w:rPr>
      </w:pPr>
      <w:r>
        <w:rPr>
          <w:lang w:val="es-ES"/>
        </w:rPr>
        <w:t>2. Alcance técnico del software</w:t>
      </w:r>
    </w:p>
    <w:p>
      <w:pPr>
        <w:pStyle w:val="Normal"/>
        <w:spacing w:lineRule="auto" w:line="276" w:before="0" w:after="120"/>
        <w:rPr>
          <w:lang w:val="es-ES"/>
        </w:rPr>
      </w:pPr>
      <w:r>
        <w:rPr>
          <w:lang w:val="es-ES"/>
        </w:rPr>
        <w:t>CATGIS ya permite resolver trabajo real en varios frentes:</w:t>
      </w:r>
    </w:p>
    <w:p>
      <w:pPr>
        <w:pStyle w:val="ListBullet"/>
        <w:numPr>
          <w:ilvl w:val="0"/>
          <w:numId w:val="1"/>
        </w:numPr>
        <w:spacing w:lineRule="auto" w:line="276" w:before="0" w:after="60"/>
        <w:ind w:hanging="360" w:start="113"/>
        <w:contextualSpacing/>
        <w:rPr>
          <w:lang w:val="es-ES"/>
        </w:rPr>
      </w:pPr>
      <w:r>
        <w:rPr>
          <w:sz w:val="21"/>
          <w:lang w:val="es-ES"/>
        </w:rPr>
        <w:t>gestión de proyectos .catgis con persistencia de orden, capas y estado general;</w:t>
      </w:r>
    </w:p>
    <w:p>
      <w:pPr>
        <w:pStyle w:val="ListBullet"/>
        <w:numPr>
          <w:ilvl w:val="0"/>
          <w:numId w:val="1"/>
        </w:numPr>
        <w:spacing w:lineRule="auto" w:line="276" w:before="0" w:after="60"/>
        <w:ind w:hanging="360" w:start="113"/>
        <w:contextualSpacing/>
        <w:rPr>
          <w:lang w:val="es-ES"/>
        </w:rPr>
      </w:pPr>
      <w:r>
        <w:rPr>
          <w:sz w:val="21"/>
          <w:lang w:val="es-ES"/>
        </w:rPr>
        <w:t>carga de datos locales, tablas externas, servicios OGC y bases espaciales;</w:t>
      </w:r>
    </w:p>
    <w:p>
      <w:pPr>
        <w:pStyle w:val="ListBullet"/>
        <w:numPr>
          <w:ilvl w:val="0"/>
          <w:numId w:val="1"/>
        </w:numPr>
        <w:spacing w:lineRule="auto" w:line="276" w:before="0" w:after="60"/>
        <w:ind w:hanging="360" w:start="113"/>
        <w:contextualSpacing/>
        <w:rPr>
          <w:lang w:val="es-ES"/>
        </w:rPr>
      </w:pPr>
      <w:r>
        <w:rPr>
          <w:sz w:val="21"/>
          <w:lang w:val="es-ES"/>
        </w:rPr>
        <w:t>edición vectorial, medición, consulta, tablas y cálculos de atributos;</w:t>
      </w:r>
    </w:p>
    <w:p>
      <w:pPr>
        <w:pStyle w:val="ListBullet"/>
        <w:numPr>
          <w:ilvl w:val="0"/>
          <w:numId w:val="1"/>
        </w:numPr>
        <w:spacing w:lineRule="auto" w:line="276" w:before="0" w:after="60"/>
        <w:ind w:hanging="360" w:start="113"/>
        <w:contextualSpacing/>
        <w:rPr>
          <w:lang w:val="es-ES"/>
        </w:rPr>
      </w:pPr>
      <w:r>
        <w:rPr>
          <w:sz w:val="21"/>
          <w:lang w:val="es-ES"/>
        </w:rPr>
        <w:t>composición cartográfica simple mediante CATMAP;</w:t>
      </w:r>
    </w:p>
    <w:p>
      <w:pPr>
        <w:pStyle w:val="ListBullet"/>
        <w:numPr>
          <w:ilvl w:val="0"/>
          <w:numId w:val="1"/>
        </w:numPr>
        <w:spacing w:lineRule="auto" w:line="276" w:before="0" w:after="60"/>
        <w:ind w:hanging="360" w:start="113"/>
        <w:contextualSpacing/>
        <w:rPr>
          <w:lang w:val="es-ES"/>
        </w:rPr>
      </w:pPr>
      <w:r>
        <w:rPr>
          <w:sz w:val="21"/>
          <w:lang w:val="es-ES"/>
        </w:rPr>
        <w:t>descarga y análisis de DEM, relieve e hidrología preliminar;</w:t>
      </w:r>
    </w:p>
    <w:p>
      <w:pPr>
        <w:pStyle w:val="ListBullet"/>
        <w:numPr>
          <w:ilvl w:val="0"/>
          <w:numId w:val="1"/>
        </w:numPr>
        <w:spacing w:lineRule="auto" w:line="276" w:before="0" w:after="60"/>
        <w:ind w:hanging="360" w:start="113"/>
        <w:contextualSpacing/>
        <w:rPr>
          <w:lang w:val="es-ES"/>
        </w:rPr>
      </w:pPr>
      <w:r>
        <w:rPr>
          <w:sz w:val="21"/>
          <w:lang w:val="es-ES"/>
        </w:rPr>
        <w:t>integración de mapas globales de suelos y generación de riesgo booleano preliminar.</w:t>
      </w:r>
    </w:p>
    <w:p>
      <w:pPr>
        <w:pStyle w:val="Normal"/>
        <w:rPr>
          <w:lang w:val="es-ES"/>
        </w:rPr>
      </w:pPr>
      <w:r>
        <w:rPr>
          <w:lang w:val="es-ES"/>
        </w:rPr>
      </w:r>
      <w:r>
        <w:br w:type="page"/>
      </w:r>
    </w:p>
    <w:p>
      <w:pPr>
        <w:pStyle w:val="Heading1"/>
        <w:spacing w:lineRule="auto" w:line="240" w:before="0" w:after="80"/>
        <w:rPr>
          <w:lang w:val="es-ES"/>
        </w:rPr>
      </w:pPr>
      <w:r>
        <w:rPr>
          <w:lang w:val="es-ES"/>
        </w:rPr>
        <w:t>3. Estructura general de la interfaz</w:t>
      </w:r>
    </w:p>
    <w:p>
      <w:pPr>
        <w:pStyle w:val="Normal"/>
        <w:spacing w:lineRule="auto" w:line="276" w:before="0" w:after="120"/>
        <w:rPr>
          <w:lang w:val="es-ES"/>
        </w:rPr>
      </w:pPr>
      <w:r>
        <w:rPr>
          <w:lang w:val="es-ES"/>
        </w:rPr>
        <w:t>La interfaz principal está organizada en cinco zonas de trabajo:</w:t>
      </w:r>
    </w:p>
    <w:p>
      <w:pPr>
        <w:pStyle w:val="ListNumber"/>
        <w:numPr>
          <w:ilvl w:val="0"/>
          <w:numId w:val="4"/>
        </w:numPr>
        <w:spacing w:lineRule="auto" w:line="276" w:before="0" w:after="60"/>
        <w:ind w:hanging="360" w:start="113"/>
        <w:contextualSpacing/>
        <w:rPr>
          <w:lang w:val="es-ES"/>
        </w:rPr>
      </w:pPr>
      <w:r>
        <w:rPr>
          <w:sz w:val="21"/>
          <w:lang w:val="es-ES"/>
        </w:rPr>
        <w:t>Barra de menús. Archivo, Edición, Vista, Herramientas, Cartografía, Módulos, Ventana, Proyecto y Ayuda.</w:t>
      </w:r>
    </w:p>
    <w:p>
      <w:pPr>
        <w:pStyle w:val="ListNumber"/>
        <w:numPr>
          <w:ilvl w:val="0"/>
          <w:numId w:val="4"/>
        </w:numPr>
        <w:spacing w:lineRule="auto" w:line="276" w:before="0" w:after="60"/>
        <w:ind w:hanging="360" w:start="113"/>
        <w:contextualSpacing/>
        <w:rPr>
          <w:lang w:val="es-ES"/>
        </w:rPr>
      </w:pPr>
      <w:r>
        <w:rPr>
          <w:sz w:val="21"/>
          <w:lang w:val="es-ES"/>
        </w:rPr>
        <w:t>Barras de herramientas. Barra principal, edición vectorial, topografía, cartografía y conexiones online.</w:t>
      </w:r>
    </w:p>
    <w:p>
      <w:pPr>
        <w:pStyle w:val="ListNumber"/>
        <w:numPr>
          <w:ilvl w:val="0"/>
          <w:numId w:val="4"/>
        </w:numPr>
        <w:spacing w:lineRule="auto" w:line="276" w:before="0" w:after="60"/>
        <w:ind w:hanging="360" w:start="113"/>
        <w:contextualSpacing/>
        <w:rPr>
          <w:lang w:val="es-ES"/>
        </w:rPr>
      </w:pPr>
      <w:r>
        <w:rPr>
          <w:sz w:val="21"/>
          <w:lang w:val="es-ES"/>
        </w:rPr>
        <w:t>Gestor de proyecto. Panel izquierdo donde se ordenan, activan y seleccionan capas.</w:t>
      </w:r>
    </w:p>
    <w:p>
      <w:pPr>
        <w:pStyle w:val="ListNumber"/>
        <w:numPr>
          <w:ilvl w:val="0"/>
          <w:numId w:val="4"/>
        </w:numPr>
        <w:spacing w:lineRule="auto" w:line="276" w:before="0" w:after="60"/>
        <w:ind w:hanging="360" w:start="113"/>
        <w:contextualSpacing/>
        <w:rPr>
          <w:lang w:val="es-ES"/>
        </w:rPr>
      </w:pPr>
      <w:r>
        <w:rPr>
          <w:sz w:val="21"/>
          <w:lang w:val="es-ES"/>
        </w:rPr>
        <w:t>Vista de mapa. Área central de exploración, edición, consulta y revisión visual.</w:t>
      </w:r>
    </w:p>
    <w:p>
      <w:pPr>
        <w:pStyle w:val="ListNumber"/>
        <w:numPr>
          <w:ilvl w:val="0"/>
          <w:numId w:val="4"/>
        </w:numPr>
        <w:spacing w:lineRule="auto" w:line="276" w:before="0" w:after="60"/>
        <w:ind w:hanging="360" w:start="113"/>
        <w:contextualSpacing/>
        <w:rPr>
          <w:lang w:val="es-ES"/>
        </w:rPr>
      </w:pPr>
      <w:r>
        <w:rPr>
          <w:sz w:val="21"/>
          <w:lang w:val="es-ES"/>
        </w:rPr>
        <w:t>Barra de estado. Mensajes operativos y datos contextuales.</w:t>
      </w:r>
    </w:p>
    <w:p>
      <w:pPr>
        <w:pStyle w:val="Normal"/>
        <w:spacing w:lineRule="auto" w:line="240" w:before="120" w:after="80"/>
        <w:jc w:val="center"/>
        <w:rPr>
          <w:lang w:val="es-ES"/>
        </w:rPr>
      </w:pPr>
      <w:r>
        <w:rPr>
          <w:lang w:val="es-ES"/>
        </w:rPr>
        <w:drawing>
          <wp:inline distT="0" distB="0" distL="0" distR="0">
            <wp:extent cx="5074920" cy="7614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74920" cy="7614285"/>
                    </a:xfrm>
                    <a:prstGeom prst="rect">
                      <a:avLst/>
                    </a:prstGeom>
                    <a:noFill/>
                  </pic:spPr>
                </pic:pic>
              </a:graphicData>
            </a:graphic>
          </wp:inline>
        </w:drawing>
      </w:r>
    </w:p>
    <w:p>
      <w:pPr>
        <w:pStyle w:val="Normal"/>
        <w:spacing w:lineRule="auto" w:line="240" w:before="0" w:after="160"/>
        <w:jc w:val="center"/>
        <w:rPr>
          <w:lang w:val="es-ES"/>
        </w:rPr>
      </w:pPr>
      <w:r>
        <w:rPr>
          <w:i/>
          <w:color w:val="636F7E"/>
          <w:sz w:val="19"/>
          <w:lang w:val="es-ES"/>
        </w:rPr>
        <w:t>Figura 1. Vista general de la interfaz principal de CATGIS Desktop con identificación de las áreas operativas.</w:t>
      </w:r>
    </w:p>
    <w:tbl>
      <w:tblPr>
        <w:tblW w:w="1009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092"/>
      </w:tblGrid>
      <w:tr>
        <w:trPr/>
        <w:tc>
          <w:tcPr>
            <w:tcW w:w="10092" w:type="dxa"/>
            <w:tcBorders>
              <w:top w:val="single" w:sz="10" w:space="0" w:color="D0E2F8"/>
              <w:start w:val="single" w:sz="10" w:space="0" w:color="D0E2F8"/>
              <w:bottom w:val="single" w:sz="10" w:space="0" w:color="D0E2F8"/>
              <w:end w:val="single" w:sz="10" w:space="0" w:color="D0E2F8"/>
            </w:tcBorders>
            <w:shd w:fill="F3F8FF" w:val="clear"/>
          </w:tcPr>
          <w:p>
            <w:pPr>
              <w:pStyle w:val="Normal"/>
              <w:spacing w:lineRule="auto" w:line="276" w:before="80" w:after="80"/>
              <w:jc w:val="start"/>
              <w:rPr>
                <w:lang w:val="es-ES"/>
              </w:rPr>
            </w:pPr>
            <w:r>
              <w:rPr>
                <w:b/>
                <w:color w:val="223E66"/>
                <w:lang w:val="es-ES"/>
              </w:rPr>
              <w:t xml:space="preserve">Regla visual del proyecto. </w:t>
            </w:r>
            <w:r>
              <w:rPr>
                <w:color w:val="374351"/>
                <w:lang w:val="es-ES"/>
              </w:rPr>
              <w:t>En el gestor de capas se mantiene la lógica arriba = frente y abajo = fondo. El orden visual del panel tiene impacto directo sobre la lectura cartográfica del mapa.</w:t>
            </w:r>
          </w:p>
        </w:tc>
      </w:tr>
    </w:tbl>
    <w:p>
      <w:pPr>
        <w:pStyle w:val="Normal"/>
        <w:rPr>
          <w:lang w:val="es-ES"/>
        </w:rPr>
      </w:pPr>
      <w:r>
        <w:rPr>
          <w:lang w:val="es-ES"/>
        </w:rPr>
      </w:r>
    </w:p>
    <w:p>
      <w:pPr>
        <w:pStyle w:val="Heading1"/>
        <w:spacing w:lineRule="auto" w:line="240" w:before="0" w:after="80"/>
        <w:rPr>
          <w:lang w:val="es-ES"/>
        </w:rPr>
      </w:pPr>
      <w:r>
        <w:rPr>
          <w:lang w:val="es-ES"/>
        </w:rPr>
        <w:t>4. Menús principales</w:t>
      </w:r>
    </w:p>
    <w:p>
      <w:pPr>
        <w:pStyle w:val="Normal"/>
        <w:spacing w:lineRule="auto" w:line="276" w:before="0" w:after="120"/>
        <w:rPr>
          <w:lang w:val="es-ES"/>
        </w:rPr>
      </w:pPr>
      <w:r>
        <w:rPr>
          <w:lang w:val="es-ES"/>
        </w:rPr>
        <w:t>La barra de menús concentra el acceso jerárquico al software. El uso de menús es especialmente útil cuando se trabaja con pantallas pequeñas o cuando se necesita una ruta más explícita que la barra gráfica.</w:t>
      </w:r>
    </w:p>
    <w:tbl>
      <w:tblPr>
        <w:tblStyle w:val="TableGrid"/>
        <w:tblW w:w="1009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364"/>
        <w:gridCol w:w="3364"/>
        <w:gridCol w:w="3364"/>
      </w:tblGrid>
      <w:tr>
        <w:trPr/>
        <w:tc>
          <w:tcPr>
            <w:tcW w:w="3364" w:type="dxa"/>
            <w:tcBorders>
              <w:top w:val="single" w:sz="8" w:space="0" w:color="D9E3EE"/>
              <w:start w:val="single" w:sz="8" w:space="0" w:color="D9E3EE"/>
              <w:bottom w:val="single" w:sz="8" w:space="0" w:color="D9E3EE"/>
              <w:end w:val="single" w:sz="8" w:space="0" w:color="D9E3EE"/>
            </w:tcBorders>
            <w:shd w:fill="EEF5FB" w:val="clear"/>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b/>
                <w:color w:val="162F5C"/>
                <w:kern w:val="0"/>
                <w:sz w:val="20"/>
                <w:szCs w:val="22"/>
                <w:lang w:val="es-ES" w:eastAsia="en-US" w:bidi="ar-SA"/>
              </w:rPr>
              <w:t>Menú</w:t>
            </w:r>
          </w:p>
        </w:tc>
        <w:tc>
          <w:tcPr>
            <w:tcW w:w="3364" w:type="dxa"/>
            <w:tcBorders>
              <w:top w:val="single" w:sz="8" w:space="0" w:color="D9E3EE"/>
              <w:start w:val="single" w:sz="8" w:space="0" w:color="D9E3EE"/>
              <w:bottom w:val="single" w:sz="8" w:space="0" w:color="D9E3EE"/>
              <w:end w:val="single" w:sz="8" w:space="0" w:color="D9E3EE"/>
            </w:tcBorders>
            <w:shd w:fill="EEF5FB" w:val="clear"/>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b/>
                <w:color w:val="162F5C"/>
                <w:kern w:val="0"/>
                <w:sz w:val="20"/>
                <w:szCs w:val="22"/>
                <w:lang w:val="es-ES" w:eastAsia="en-US" w:bidi="ar-SA"/>
              </w:rPr>
              <w:t>Propósito</w:t>
            </w:r>
          </w:p>
        </w:tc>
        <w:tc>
          <w:tcPr>
            <w:tcW w:w="3364" w:type="dxa"/>
            <w:tcBorders>
              <w:top w:val="single" w:sz="8" w:space="0" w:color="D9E3EE"/>
              <w:start w:val="single" w:sz="8" w:space="0" w:color="D9E3EE"/>
              <w:bottom w:val="single" w:sz="8" w:space="0" w:color="D9E3EE"/>
              <w:end w:val="single" w:sz="8" w:space="0" w:color="D9E3EE"/>
            </w:tcBorders>
            <w:shd w:fill="EEF5FB" w:val="clear"/>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b/>
                <w:color w:val="162F5C"/>
                <w:kern w:val="0"/>
                <w:sz w:val="20"/>
                <w:szCs w:val="22"/>
                <w:lang w:val="es-ES" w:eastAsia="en-US" w:bidi="ar-SA"/>
              </w:rPr>
              <w:t>Funciones principales actuales</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Archivo</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Operaciones de proyecto, capas y tablas.</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Nuevo proyecto, abrir proyecto, agregar capa, DEM online, cargar DEM local, nueva capa vectorial, cargar tabla externa, guardar y salvar vista.</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Edición</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Operaciones de selección, edición y gestión de geometría.</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Cortar, copiar, pegar, copiar a capa editable, borrar selección, deshacer, rehacer, unir elementos, explotar, guardar cambios y finalizar/cancelar edición.</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Vista</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Control de encuadre y navegación.</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Zoom +, Zoom -, vista anterior, vista siguiente, zoom a capa y zoom a todas las capas.</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Herramientas</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Dibujo, medición, consulta, atributos y análisis.</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Identificar, medir, dibujar, tabla de atributos, calculadora de campos, constructor de consultas, conversor CRS, escorrentías, análisis topohidrológico y cuenca desde outlet.</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Cartografía</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Composición y simbología.</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Abrir CATMAP, simbología de capa seleccionada y simbología por campo.</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Módulos</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Gestión del conjunto de bloques funcionales disponibles.</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Herramientas CAD, topología, exportación reproyectada, tablas externas, fuentes KML/KMZ, GeoPackage, WFS, PostGIS, cartografía y geoprocesamiento.</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Proyecto</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Metadatos operativos del proyecto.</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Renombrar proyecto y definir CRS del proyecto.</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Ayuda</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Soporte interno e información institucional.</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Panel de ayuda, idioma y Acerca de CATGIS.</w:t>
            </w:r>
          </w:p>
        </w:tc>
      </w:tr>
    </w:tbl>
    <w:p>
      <w:pPr>
        <w:pStyle w:val="Normal"/>
        <w:rPr>
          <w:lang w:val="es-ES"/>
        </w:rPr>
      </w:pPr>
      <w:r>
        <w:rPr>
          <w:lang w:val="es-ES"/>
        </w:rPr>
      </w:r>
      <w:r>
        <w:br w:type="page"/>
      </w:r>
    </w:p>
    <w:p>
      <w:pPr>
        <w:pStyle w:val="Heading1"/>
        <w:spacing w:lineRule="auto" w:line="240" w:before="120" w:after="80"/>
        <w:rPr>
          <w:lang w:val="es-ES"/>
        </w:rPr>
      </w:pPr>
      <w:r>
        <w:rPr>
          <w:lang w:val="es-ES"/>
        </w:rPr>
        <w:t>5. Barras de herramientas principales</w:t>
      </w:r>
    </w:p>
    <w:p>
      <w:pPr>
        <w:pStyle w:val="Normal"/>
        <w:spacing w:lineRule="auto" w:line="276" w:before="0" w:after="120"/>
        <w:rPr>
          <w:lang w:val="es-ES"/>
        </w:rPr>
      </w:pPr>
      <w:r>
        <w:rPr>
          <w:lang w:val="es-ES"/>
        </w:rPr>
        <w:t>Las barras son la vía de trabajo más rápida. La barra principal concentra navegación y acciones generales; la de edición vectorial se activa en lógica de sesión; Topografía agrupa DEM e hidrología; CATMAP atiende salida cartográfica; y la franja online permite incorporar mapas base y servicios.</w:t>
      </w:r>
    </w:p>
    <w:tbl>
      <w:tblPr>
        <w:tblStyle w:val="TableGrid"/>
        <w:tblW w:w="1009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364"/>
        <w:gridCol w:w="3364"/>
        <w:gridCol w:w="3364"/>
      </w:tblGrid>
      <w:tr>
        <w:trPr/>
        <w:tc>
          <w:tcPr>
            <w:tcW w:w="3364" w:type="dxa"/>
            <w:tcBorders>
              <w:top w:val="single" w:sz="8" w:space="0" w:color="D9E3EE"/>
              <w:start w:val="single" w:sz="8" w:space="0" w:color="D9E3EE"/>
              <w:bottom w:val="single" w:sz="8" w:space="0" w:color="D9E3EE"/>
              <w:end w:val="single" w:sz="8" w:space="0" w:color="D9E3EE"/>
            </w:tcBorders>
            <w:shd w:fill="EEF5FB" w:val="clear"/>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b/>
                <w:color w:val="162F5C"/>
                <w:kern w:val="0"/>
                <w:sz w:val="20"/>
                <w:szCs w:val="22"/>
                <w:lang w:val="es-ES" w:eastAsia="en-US" w:bidi="ar-SA"/>
              </w:rPr>
              <w:t>Barra</w:t>
            </w:r>
          </w:p>
        </w:tc>
        <w:tc>
          <w:tcPr>
            <w:tcW w:w="3364" w:type="dxa"/>
            <w:tcBorders>
              <w:top w:val="single" w:sz="8" w:space="0" w:color="D9E3EE"/>
              <w:start w:val="single" w:sz="8" w:space="0" w:color="D9E3EE"/>
              <w:bottom w:val="single" w:sz="8" w:space="0" w:color="D9E3EE"/>
              <w:end w:val="single" w:sz="8" w:space="0" w:color="D9E3EE"/>
            </w:tcBorders>
            <w:shd w:fill="EEF5FB" w:val="clear"/>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b/>
                <w:color w:val="162F5C"/>
                <w:kern w:val="0"/>
                <w:sz w:val="20"/>
                <w:szCs w:val="22"/>
                <w:lang w:val="es-ES" w:eastAsia="en-US" w:bidi="ar-SA"/>
              </w:rPr>
              <w:t>Rol operativo</w:t>
            </w:r>
          </w:p>
        </w:tc>
        <w:tc>
          <w:tcPr>
            <w:tcW w:w="3364" w:type="dxa"/>
            <w:tcBorders>
              <w:top w:val="single" w:sz="8" w:space="0" w:color="D9E3EE"/>
              <w:start w:val="single" w:sz="8" w:space="0" w:color="D9E3EE"/>
              <w:bottom w:val="single" w:sz="8" w:space="0" w:color="D9E3EE"/>
              <w:end w:val="single" w:sz="8" w:space="0" w:color="D9E3EE"/>
            </w:tcBorders>
            <w:shd w:fill="EEF5FB" w:val="clear"/>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b/>
                <w:color w:val="162F5C"/>
                <w:kern w:val="0"/>
                <w:sz w:val="20"/>
                <w:szCs w:val="22"/>
                <w:lang w:val="es-ES" w:eastAsia="en-US" w:bidi="ar-SA"/>
              </w:rPr>
              <w:t>Tipo de salida</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Barra principal</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Proyecto, carga, navegación, dibujo y medición.</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Acciones directas, modos de mapa y apertura de ventanas.</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Edición vectorial</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Selección, edición geométrica, CAD y control de sesión.</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Modificación de entidades y cambios sobre capas editables.</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Topografía</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DEM, recorte, relieve, drenaje, cuencas, suelos e inundación preliminar.</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Capas raster y vectoriales derivadas.</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Cartografía / CATMAP</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Composición y mapas base contextuales.</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Mapas exportables o imprimibles.</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Conexiones online</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Mapas base y acceso rápido a WMS.</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Capas remotas de contexto.</w:t>
            </w:r>
          </w:p>
        </w:tc>
      </w:tr>
    </w:tbl>
    <w:p>
      <w:pPr>
        <w:pStyle w:val="Normal"/>
        <w:rPr>
          <w:lang w:val="es-ES"/>
        </w:rPr>
      </w:pPr>
      <w:r>
        <w:rPr>
          <w:lang w:val="es-ES"/>
        </w:rPr>
      </w:r>
    </w:p>
    <w:p>
      <w:pPr>
        <w:pStyle w:val="Normal"/>
        <w:rPr>
          <w:lang w:val="es-ES"/>
        </w:rPr>
      </w:pPr>
      <w:r>
        <w:rPr>
          <w:lang w:val="es-ES"/>
        </w:rPr>
      </w:r>
      <w:r>
        <w:br w:type="page"/>
      </w:r>
    </w:p>
    <w:p>
      <w:pPr>
        <w:pStyle w:val="Heading1"/>
        <w:spacing w:lineRule="auto" w:line="240" w:before="0" w:after="80"/>
        <w:rPr>
          <w:lang w:val="es-ES"/>
        </w:rPr>
      </w:pPr>
      <w:r>
        <w:rPr>
          <w:lang w:val="es-ES"/>
        </w:rPr>
        <w:t>6. Gestor de proyecto y panel de capas</w:t>
      </w:r>
    </w:p>
    <w:p>
      <w:pPr>
        <w:pStyle w:val="Normal"/>
        <w:spacing w:lineRule="auto" w:line="276" w:before="0" w:after="120"/>
        <w:rPr>
          <w:lang w:val="es-ES"/>
        </w:rPr>
      </w:pPr>
      <w:r>
        <w:rPr>
          <w:lang w:val="es-ES"/>
        </w:rPr>
        <w:t>El gestor de proyecto es el panel de referencia para el orden, activación, ocultamiento y selección de capas. Allí se observa el proyecto, su CRS operativo y la organización por grupos.</w:t>
      </w:r>
    </w:p>
    <w:p>
      <w:pPr>
        <w:pStyle w:val="ListBullet"/>
        <w:numPr>
          <w:ilvl w:val="0"/>
          <w:numId w:val="1"/>
        </w:numPr>
        <w:spacing w:lineRule="auto" w:line="276" w:before="0" w:after="60"/>
        <w:ind w:hanging="360" w:start="113"/>
        <w:contextualSpacing/>
        <w:rPr>
          <w:lang w:val="es-ES"/>
        </w:rPr>
      </w:pPr>
      <w:r>
        <w:rPr>
          <w:sz w:val="21"/>
          <w:lang w:val="es-ES"/>
        </w:rPr>
        <w:t>Permite activar y desactivar capas mediante checkboxes.</w:t>
      </w:r>
    </w:p>
    <w:p>
      <w:pPr>
        <w:pStyle w:val="ListBullet"/>
        <w:numPr>
          <w:ilvl w:val="0"/>
          <w:numId w:val="1"/>
        </w:numPr>
        <w:spacing w:lineRule="auto" w:line="276" w:before="0" w:after="60"/>
        <w:ind w:hanging="360" w:start="113"/>
        <w:contextualSpacing/>
        <w:rPr>
          <w:lang w:val="es-ES"/>
        </w:rPr>
      </w:pPr>
      <w:r>
        <w:rPr>
          <w:sz w:val="21"/>
          <w:lang w:val="es-ES"/>
        </w:rPr>
        <w:t>Mantiene grupos, subgrupos y orden visual.</w:t>
      </w:r>
    </w:p>
    <w:p>
      <w:pPr>
        <w:pStyle w:val="ListBullet"/>
        <w:numPr>
          <w:ilvl w:val="0"/>
          <w:numId w:val="1"/>
        </w:numPr>
        <w:spacing w:lineRule="auto" w:line="276" w:before="0" w:after="60"/>
        <w:ind w:hanging="360" w:start="113"/>
        <w:contextualSpacing/>
        <w:rPr>
          <w:lang w:val="es-ES"/>
        </w:rPr>
      </w:pPr>
      <w:r>
        <w:rPr>
          <w:sz w:val="21"/>
          <w:lang w:val="es-ES"/>
        </w:rPr>
        <w:t>Refleja el tipo de capa: vectorial, raster, mapa base o resultado derivado.</w:t>
      </w:r>
    </w:p>
    <w:p>
      <w:pPr>
        <w:pStyle w:val="ListBullet"/>
        <w:numPr>
          <w:ilvl w:val="0"/>
          <w:numId w:val="1"/>
        </w:numPr>
        <w:spacing w:lineRule="auto" w:line="276" w:before="0" w:after="60"/>
        <w:ind w:hanging="360" w:start="113"/>
        <w:contextualSpacing/>
        <w:rPr>
          <w:lang w:val="es-ES"/>
        </w:rPr>
      </w:pPr>
      <w:r>
        <w:rPr>
          <w:sz w:val="21"/>
          <w:lang w:val="es-ES"/>
        </w:rPr>
        <w:t>Es el punto de entrada para menús contextuales de capa, simbología, propiedades y acciones avanzadas.</w:t>
      </w:r>
    </w:p>
    <w:p>
      <w:pPr>
        <w:pStyle w:val="Heading1"/>
        <w:spacing w:lineRule="auto" w:line="240" w:before="120" w:after="80"/>
        <w:rPr>
          <w:lang w:val="es-ES"/>
        </w:rPr>
      </w:pPr>
      <w:r>
        <w:rPr>
          <w:lang w:val="es-ES"/>
        </w:rPr>
        <w:t>7. Navegación y visualización</w:t>
      </w:r>
    </w:p>
    <w:p>
      <w:pPr>
        <w:pStyle w:val="Normal"/>
        <w:spacing w:lineRule="auto" w:line="276" w:before="0" w:after="120"/>
        <w:rPr>
          <w:lang w:val="es-ES"/>
        </w:rPr>
      </w:pPr>
      <w:r>
        <w:rPr>
          <w:lang w:val="es-ES"/>
        </w:rPr>
        <w:t>CATGIS permite navegar con zoom incremental, zoom a capa, zoom total, vista anterior, vista siguiente, pan e identificación. Estas herramientas están pensadas para recorrer proyectos grandes sin perder el contexto visual.</w:t>
      </w:r>
    </w:p>
    <w:p>
      <w:pPr>
        <w:pStyle w:val="ListBullet"/>
        <w:numPr>
          <w:ilvl w:val="0"/>
          <w:numId w:val="1"/>
        </w:numPr>
        <w:spacing w:lineRule="auto" w:line="276" w:before="0" w:after="60"/>
        <w:ind w:hanging="360" w:start="113"/>
        <w:contextualSpacing/>
        <w:rPr>
          <w:lang w:val="es-ES"/>
        </w:rPr>
      </w:pPr>
      <w:r>
        <w:rPr>
          <w:sz w:val="21"/>
          <w:lang w:val="es-ES"/>
        </w:rPr>
        <w:t>Acercar / Alejar. Ajustes rápidos del encuadre.</w:t>
      </w:r>
    </w:p>
    <w:p>
      <w:pPr>
        <w:pStyle w:val="ListBullet"/>
        <w:numPr>
          <w:ilvl w:val="0"/>
          <w:numId w:val="1"/>
        </w:numPr>
        <w:spacing w:lineRule="auto" w:line="276" w:before="0" w:after="60"/>
        <w:ind w:hanging="360" w:start="113"/>
        <w:contextualSpacing/>
        <w:rPr>
          <w:lang w:val="es-ES"/>
        </w:rPr>
      </w:pPr>
      <w:r>
        <w:rPr>
          <w:sz w:val="21"/>
          <w:lang w:val="es-ES"/>
        </w:rPr>
        <w:t>Zoom a capa. Centra y ajusta la vista a la capa seleccionada.</w:t>
      </w:r>
    </w:p>
    <w:p>
      <w:pPr>
        <w:pStyle w:val="ListBullet"/>
        <w:numPr>
          <w:ilvl w:val="0"/>
          <w:numId w:val="1"/>
        </w:numPr>
        <w:spacing w:lineRule="auto" w:line="276" w:before="0" w:after="60"/>
        <w:ind w:hanging="360" w:start="113"/>
        <w:contextualSpacing/>
        <w:rPr>
          <w:lang w:val="es-ES"/>
        </w:rPr>
      </w:pPr>
      <w:r>
        <w:rPr>
          <w:sz w:val="21"/>
          <w:lang w:val="es-ES"/>
        </w:rPr>
        <w:t>Zoom a todas las capas. Reencuadra el conjunto del proyecto.</w:t>
      </w:r>
    </w:p>
    <w:p>
      <w:pPr>
        <w:pStyle w:val="ListBullet"/>
        <w:numPr>
          <w:ilvl w:val="0"/>
          <w:numId w:val="1"/>
        </w:numPr>
        <w:spacing w:lineRule="auto" w:line="276" w:before="0" w:after="60"/>
        <w:ind w:hanging="360" w:start="113"/>
        <w:contextualSpacing/>
        <w:rPr>
          <w:lang w:val="es-ES"/>
        </w:rPr>
      </w:pPr>
      <w:r>
        <w:rPr>
          <w:sz w:val="21"/>
          <w:lang w:val="es-ES"/>
        </w:rPr>
        <w:t>Vista anterior / siguiente. Recupera encuadres previos del historial.</w:t>
      </w:r>
    </w:p>
    <w:p>
      <w:pPr>
        <w:pStyle w:val="ListBullet"/>
        <w:numPr>
          <w:ilvl w:val="0"/>
          <w:numId w:val="1"/>
        </w:numPr>
        <w:spacing w:lineRule="auto" w:line="276" w:before="0" w:after="60"/>
        <w:ind w:hanging="360" w:start="113"/>
        <w:contextualSpacing/>
        <w:rPr>
          <w:lang w:val="es-ES"/>
        </w:rPr>
      </w:pPr>
      <w:r>
        <w:rPr>
          <w:sz w:val="21"/>
          <w:lang w:val="es-ES"/>
        </w:rPr>
        <w:t>Desplazar mapa. Activa el modo pan.</w:t>
      </w:r>
    </w:p>
    <w:p>
      <w:pPr>
        <w:pStyle w:val="ListBullet"/>
        <w:numPr>
          <w:ilvl w:val="0"/>
          <w:numId w:val="1"/>
        </w:numPr>
        <w:spacing w:lineRule="auto" w:line="276" w:before="0" w:after="60"/>
        <w:ind w:hanging="360" w:start="113"/>
        <w:contextualSpacing/>
        <w:rPr>
          <w:lang w:val="es-ES"/>
        </w:rPr>
      </w:pPr>
      <w:r>
        <w:rPr>
          <w:sz w:val="21"/>
          <w:lang w:val="es-ES"/>
        </w:rPr>
        <w:t>Consultar entidades. Interroga objetos visibles en pantalla.</w:t>
      </w:r>
    </w:p>
    <w:p>
      <w:pPr>
        <w:pStyle w:val="Heading1"/>
        <w:spacing w:lineRule="auto" w:line="240" w:before="120" w:after="80"/>
        <w:rPr>
          <w:lang w:val="es-ES"/>
        </w:rPr>
      </w:pPr>
      <w:r>
        <w:rPr>
          <w:lang w:val="es-ES"/>
        </w:rPr>
        <w:t>8. Carga de datos</w:t>
      </w:r>
    </w:p>
    <w:p>
      <w:pPr>
        <w:pStyle w:val="Normal"/>
        <w:spacing w:lineRule="auto" w:line="276" w:before="0" w:after="120"/>
        <w:rPr>
          <w:lang w:val="es-ES"/>
        </w:rPr>
      </w:pPr>
      <w:r>
        <w:rPr>
          <w:lang w:val="es-ES"/>
        </w:rPr>
        <w:t>El software soporta carga local y remota. En el flujo local se prioriza la incorporación simple de datos SIG, CAD y tablas. En el flujo remoto se soportan mapas base, WMS, WFS y PostGIS.</w:t>
      </w:r>
    </w:p>
    <w:tbl>
      <w:tblPr>
        <w:tblStyle w:val="TableGrid"/>
        <w:tblW w:w="1009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364"/>
        <w:gridCol w:w="3364"/>
        <w:gridCol w:w="3364"/>
      </w:tblGrid>
      <w:tr>
        <w:trPr/>
        <w:tc>
          <w:tcPr>
            <w:tcW w:w="3364" w:type="dxa"/>
            <w:tcBorders>
              <w:top w:val="single" w:sz="8" w:space="0" w:color="D9E3EE"/>
              <w:start w:val="single" w:sz="8" w:space="0" w:color="D9E3EE"/>
              <w:bottom w:val="single" w:sz="8" w:space="0" w:color="D9E3EE"/>
              <w:end w:val="single" w:sz="8" w:space="0" w:color="D9E3EE"/>
            </w:tcBorders>
            <w:shd w:fill="EEF5FB" w:val="clear"/>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b/>
                <w:color w:val="162F5C"/>
                <w:kern w:val="0"/>
                <w:sz w:val="20"/>
                <w:szCs w:val="22"/>
                <w:lang w:val="es-ES" w:eastAsia="en-US" w:bidi="ar-SA"/>
              </w:rPr>
              <w:t>Bloque</w:t>
            </w:r>
          </w:p>
        </w:tc>
        <w:tc>
          <w:tcPr>
            <w:tcW w:w="3364" w:type="dxa"/>
            <w:tcBorders>
              <w:top w:val="single" w:sz="8" w:space="0" w:color="D9E3EE"/>
              <w:start w:val="single" w:sz="8" w:space="0" w:color="D9E3EE"/>
              <w:bottom w:val="single" w:sz="8" w:space="0" w:color="D9E3EE"/>
              <w:end w:val="single" w:sz="8" w:space="0" w:color="D9E3EE"/>
            </w:tcBorders>
            <w:shd w:fill="EEF5FB" w:val="clear"/>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b/>
                <w:color w:val="162F5C"/>
                <w:kern w:val="0"/>
                <w:sz w:val="20"/>
                <w:szCs w:val="22"/>
                <w:lang w:val="es-ES" w:eastAsia="en-US" w:bidi="ar-SA"/>
              </w:rPr>
              <w:t>Formatos y orígenes actuales</w:t>
            </w:r>
          </w:p>
        </w:tc>
        <w:tc>
          <w:tcPr>
            <w:tcW w:w="3364" w:type="dxa"/>
            <w:tcBorders>
              <w:top w:val="single" w:sz="8" w:space="0" w:color="D9E3EE"/>
              <w:start w:val="single" w:sz="8" w:space="0" w:color="D9E3EE"/>
              <w:bottom w:val="single" w:sz="8" w:space="0" w:color="D9E3EE"/>
              <w:end w:val="single" w:sz="8" w:space="0" w:color="D9E3EE"/>
            </w:tcBorders>
            <w:shd w:fill="EEF5FB" w:val="clear"/>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b/>
                <w:color w:val="162F5C"/>
                <w:kern w:val="0"/>
                <w:sz w:val="20"/>
                <w:szCs w:val="22"/>
                <w:lang w:val="es-ES" w:eastAsia="en-US" w:bidi="ar-SA"/>
              </w:rPr>
              <w:t>Observaciones de uso</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Vectores</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SHP, GeoPackage, GeoJSON, KML/KMZ, GPX, DXF, DWG.</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Las capas editables deben definirse con una geometría compatible con la sesión de edición.</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Raster e imagen</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GeoTIFF, TIFF, IMG, ASC, JPG, PNG, BMP, GIF.</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El bloque raster usa GeoTIFF, ArcGrid, procesos raster e ImageIO-Ext / GDAL cuando el flujo lo requiere.</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Tablas</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CSV, XLSX, XLS, ODS, DBF.</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Las tablas pueden cargarse como tabla o transformarse en capa puntual si se dispone de campos X/Y.</w:t>
            </w:r>
          </w:p>
        </w:tc>
      </w:tr>
      <w:tr>
        <w:trPr/>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Servicios</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WMS, WFS, PostGIS.</w:t>
            </w:r>
          </w:p>
        </w:tc>
        <w:tc>
          <w:tcPr>
            <w:tcW w:w="3364"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20"/>
                <w:szCs w:val="22"/>
                <w:lang w:val="es-ES" w:eastAsia="en-US" w:bidi="ar-SA"/>
              </w:rPr>
              <w:t>WMS y mapas base se usan como apoyo visual; WFS y PostGIS permiten trabajar con información vectorial estructurada.</w:t>
            </w:r>
          </w:p>
        </w:tc>
      </w:tr>
    </w:tbl>
    <w:p>
      <w:pPr>
        <w:pStyle w:val="Normal"/>
        <w:rPr>
          <w:lang w:val="es-ES"/>
        </w:rPr>
      </w:pPr>
      <w:r>
        <w:rPr>
          <w:lang w:val="es-ES"/>
        </w:rPr>
      </w:r>
    </w:p>
    <w:p>
      <w:pPr>
        <w:pStyle w:val="Heading1"/>
        <w:spacing w:lineRule="auto" w:line="240" w:before="120" w:after="80"/>
        <w:rPr>
          <w:lang w:val="es-ES"/>
        </w:rPr>
      </w:pPr>
      <w:r>
        <w:rPr>
          <w:lang w:val="es-ES"/>
        </w:rPr>
        <w:t>9. CRS y coordenadas</w:t>
      </w:r>
    </w:p>
    <w:p>
      <w:pPr>
        <w:pStyle w:val="Normal"/>
        <w:spacing w:lineRule="auto" w:line="276" w:before="0" w:after="120"/>
        <w:rPr>
          <w:lang w:val="es-ES"/>
        </w:rPr>
      </w:pPr>
      <w:r>
        <w:rPr>
          <w:lang w:val="es-ES"/>
        </w:rPr>
        <w:t>CATGIS trabaja con un CRS operativo de proyecto. Ese CRS manda sobre la visualización y, en los flujos ya estabilizados, también sobre los productos derivados cuando se trabaja con DEM, análisis hidrológicos, suelos y riesgo preliminar.</w:t>
      </w:r>
    </w:p>
    <w:p>
      <w:pPr>
        <w:pStyle w:val="ListBullet"/>
        <w:numPr>
          <w:ilvl w:val="0"/>
          <w:numId w:val="1"/>
        </w:numPr>
        <w:spacing w:lineRule="auto" w:line="276" w:before="0" w:after="60"/>
        <w:ind w:hanging="360" w:start="113"/>
        <w:contextualSpacing/>
        <w:rPr>
          <w:lang w:val="es-ES"/>
        </w:rPr>
      </w:pPr>
      <w:r>
        <w:rPr>
          <w:sz w:val="21"/>
          <w:lang w:val="es-ES"/>
        </w:rPr>
        <w:t>Se puede definir el CRS del proyecto.</w:t>
      </w:r>
    </w:p>
    <w:p>
      <w:pPr>
        <w:pStyle w:val="ListBullet"/>
        <w:numPr>
          <w:ilvl w:val="0"/>
          <w:numId w:val="1"/>
        </w:numPr>
        <w:spacing w:lineRule="auto" w:line="276" w:before="0" w:after="60"/>
        <w:ind w:hanging="360" w:start="113"/>
        <w:contextualSpacing/>
        <w:rPr>
          <w:lang w:val="es-ES"/>
        </w:rPr>
      </w:pPr>
      <w:r>
        <w:rPr>
          <w:sz w:val="21"/>
          <w:lang w:val="es-ES"/>
        </w:rPr>
        <w:t>Se puede asignar CRS a capas cuando corresponde.</w:t>
      </w:r>
    </w:p>
    <w:p>
      <w:pPr>
        <w:pStyle w:val="ListBullet"/>
        <w:numPr>
          <w:ilvl w:val="0"/>
          <w:numId w:val="1"/>
        </w:numPr>
        <w:spacing w:lineRule="auto" w:line="276" w:before="0" w:after="60"/>
        <w:ind w:hanging="360" w:start="113"/>
        <w:contextualSpacing/>
        <w:rPr>
          <w:lang w:val="es-ES"/>
        </w:rPr>
      </w:pPr>
      <w:r>
        <w:rPr>
          <w:sz w:val="21"/>
          <w:lang w:val="es-ES"/>
        </w:rPr>
        <w:t>Se dispone de conversor de coordenadas.</w:t>
      </w:r>
    </w:p>
    <w:p>
      <w:pPr>
        <w:pStyle w:val="ListBullet"/>
        <w:numPr>
          <w:ilvl w:val="0"/>
          <w:numId w:val="1"/>
        </w:numPr>
        <w:spacing w:lineRule="auto" w:line="276" w:before="0" w:after="60"/>
        <w:ind w:hanging="360" w:start="113"/>
        <w:contextualSpacing/>
        <w:rPr>
          <w:lang w:val="es-ES"/>
        </w:rPr>
      </w:pPr>
      <w:r>
        <w:rPr>
          <w:sz w:val="21"/>
          <w:lang w:val="es-ES"/>
        </w:rPr>
        <w:t>La exportación reproyectada y los round-trips del proyecto buscan mantener coherencia espacial real.</w:t>
      </w:r>
    </w:p>
    <w:p>
      <w:pPr>
        <w:pStyle w:val="Heading1"/>
        <w:spacing w:lineRule="auto" w:line="240" w:before="120" w:after="80"/>
        <w:rPr>
          <w:lang w:val="es-ES"/>
        </w:rPr>
      </w:pPr>
      <w:r>
        <w:rPr>
          <w:lang w:val="es-ES"/>
        </w:rPr>
        <w:t>10. Edición vectorial</w:t>
      </w:r>
    </w:p>
    <w:p>
      <w:pPr>
        <w:pStyle w:val="Normal"/>
        <w:spacing w:lineRule="auto" w:line="276" w:before="0" w:after="120"/>
        <w:rPr>
          <w:lang w:val="es-ES"/>
        </w:rPr>
      </w:pPr>
      <w:r>
        <w:rPr>
          <w:lang w:val="es-ES"/>
        </w:rPr>
        <w:t>La edición vectorial se concentra en la barra flotante de sesión. Allí se controla selección, zoom a entidad, copiado, pegado, atributos y geometría. El software diferencia entre modo de dibujo, edición de entidad seleccionada y guardado/cancelación de sesión.</w:t>
      </w:r>
    </w:p>
    <w:p>
      <w:pPr>
        <w:pStyle w:val="ListBullet"/>
        <w:numPr>
          <w:ilvl w:val="0"/>
          <w:numId w:val="1"/>
        </w:numPr>
        <w:spacing w:lineRule="auto" w:line="276" w:before="0" w:after="60"/>
        <w:ind w:hanging="360" w:start="113"/>
        <w:contextualSpacing/>
        <w:rPr>
          <w:lang w:val="es-ES"/>
        </w:rPr>
      </w:pPr>
      <w:r>
        <w:rPr>
          <w:sz w:val="21"/>
          <w:lang w:val="es-ES"/>
        </w:rPr>
        <w:t>Es posible dibujar punto, multipunto, línea y polígono.</w:t>
      </w:r>
    </w:p>
    <w:p>
      <w:pPr>
        <w:pStyle w:val="ListBullet"/>
        <w:numPr>
          <w:ilvl w:val="0"/>
          <w:numId w:val="1"/>
        </w:numPr>
        <w:spacing w:lineRule="auto" w:line="276" w:before="0" w:after="60"/>
        <w:ind w:hanging="360" w:start="113"/>
        <w:contextualSpacing/>
        <w:rPr>
          <w:lang w:val="es-ES"/>
        </w:rPr>
      </w:pPr>
      <w:r>
        <w:rPr>
          <w:sz w:val="21"/>
          <w:lang w:val="es-ES"/>
        </w:rPr>
        <w:t>La selección es el punto de partida para mover, cortar, unir y editar vértices.</w:t>
      </w:r>
    </w:p>
    <w:p>
      <w:pPr>
        <w:pStyle w:val="ListBullet"/>
        <w:numPr>
          <w:ilvl w:val="0"/>
          <w:numId w:val="1"/>
        </w:numPr>
        <w:spacing w:lineRule="auto" w:line="276" w:before="0" w:after="60"/>
        <w:ind w:hanging="360" w:start="113"/>
        <w:contextualSpacing/>
        <w:rPr>
          <w:lang w:val="es-ES"/>
        </w:rPr>
      </w:pPr>
      <w:r>
        <w:rPr>
          <w:sz w:val="21"/>
          <w:lang w:val="es-ES"/>
        </w:rPr>
        <w:t>El guardado de cambios y la finalización de sesión están explícitamente separados.</w:t>
      </w:r>
    </w:p>
    <w:p>
      <w:pPr>
        <w:pStyle w:val="ListBullet"/>
        <w:numPr>
          <w:ilvl w:val="0"/>
          <w:numId w:val="1"/>
        </w:numPr>
        <w:spacing w:lineRule="auto" w:line="276" w:before="0" w:after="60"/>
        <w:ind w:hanging="360" w:start="113"/>
        <w:contextualSpacing/>
        <w:rPr>
          <w:lang w:val="es-ES"/>
        </w:rPr>
      </w:pPr>
      <w:r>
        <w:rPr>
          <w:sz w:val="21"/>
          <w:lang w:val="es-ES"/>
        </w:rPr>
        <w:t>El botón SNAP es clave para precisión geométrica.</w:t>
      </w:r>
    </w:p>
    <w:p>
      <w:pPr>
        <w:pStyle w:val="Heading1"/>
        <w:spacing w:lineRule="auto" w:line="240" w:before="120" w:after="80"/>
        <w:rPr>
          <w:lang w:val="es-ES"/>
        </w:rPr>
      </w:pPr>
      <w:r>
        <w:rPr>
          <w:lang w:val="es-ES"/>
        </w:rPr>
        <w:t>11. Herramientas CAD</w:t>
      </w:r>
    </w:p>
    <w:p>
      <w:pPr>
        <w:pStyle w:val="Normal"/>
        <w:spacing w:lineRule="auto" w:line="276" w:before="0" w:after="120"/>
        <w:rPr>
          <w:lang w:val="es-ES"/>
        </w:rPr>
      </w:pPr>
      <w:r>
        <w:rPr>
          <w:lang w:val="es-ES"/>
        </w:rPr>
        <w:t>CATGIS incorpora herramientas CAD básicas integradas a la edición: rectángulo, círculo, círculo por tres puntos, continuación de línea, extensión, acorte, paralela, perpendicular y apoyo a georreferenciación CAD.</w:t>
      </w:r>
    </w:p>
    <w:p>
      <w:pPr>
        <w:pStyle w:val="Normal"/>
        <w:spacing w:lineRule="auto" w:line="276" w:before="0" w:after="120"/>
        <w:rPr>
          <w:lang w:val="es-ES"/>
        </w:rPr>
      </w:pPr>
      <w:r>
        <w:rPr>
          <w:lang w:val="es-ES"/>
        </w:rPr>
        <w:t>Estas funciones están pensadas para trabajo cartográfico y vectorial técnico, no para reemplazar un CAD industrial completo.</w:t>
      </w:r>
    </w:p>
    <w:p>
      <w:pPr>
        <w:pStyle w:val="Heading1"/>
        <w:spacing w:lineRule="auto" w:line="240" w:before="120" w:after="80"/>
        <w:rPr>
          <w:lang w:val="es-ES"/>
        </w:rPr>
      </w:pPr>
      <w:r>
        <w:rPr>
          <w:lang w:val="es-ES"/>
        </w:rPr>
        <w:t>12. Geoprocesamiento</w:t>
      </w:r>
    </w:p>
    <w:p>
      <w:pPr>
        <w:pStyle w:val="Normal"/>
        <w:spacing w:lineRule="auto" w:line="276" w:before="0" w:after="120"/>
        <w:rPr>
          <w:lang w:val="es-ES"/>
        </w:rPr>
      </w:pPr>
      <w:r>
        <w:rPr>
          <w:lang w:val="es-ES"/>
        </w:rPr>
        <w:t>El geoprocesamiento vectorial se concentra en el asistente y en el toolbox interno. Las operaciones hoy disponibles cubren los flujos más comunes de análisis espacial preliminar.</w:t>
      </w:r>
    </w:p>
    <w:p>
      <w:pPr>
        <w:pStyle w:val="ListBullet"/>
        <w:numPr>
          <w:ilvl w:val="0"/>
          <w:numId w:val="1"/>
        </w:numPr>
        <w:spacing w:lineRule="auto" w:line="276" w:before="0" w:after="60"/>
        <w:ind w:hanging="360" w:start="113"/>
        <w:contextualSpacing/>
        <w:rPr>
          <w:lang w:val="es-ES"/>
        </w:rPr>
      </w:pPr>
      <w:r>
        <w:rPr>
          <w:sz w:val="21"/>
          <w:lang w:val="es-ES"/>
        </w:rPr>
        <w:t>Buffer</w:t>
      </w:r>
    </w:p>
    <w:p>
      <w:pPr>
        <w:pStyle w:val="ListBullet"/>
        <w:numPr>
          <w:ilvl w:val="0"/>
          <w:numId w:val="1"/>
        </w:numPr>
        <w:spacing w:lineRule="auto" w:line="276" w:before="0" w:after="60"/>
        <w:ind w:hanging="360" w:start="113"/>
        <w:contextualSpacing/>
        <w:rPr>
          <w:lang w:val="es-ES"/>
        </w:rPr>
      </w:pPr>
      <w:r>
        <w:rPr>
          <w:sz w:val="21"/>
          <w:lang w:val="es-ES"/>
        </w:rPr>
        <w:t>Dissolve</w:t>
      </w:r>
    </w:p>
    <w:p>
      <w:pPr>
        <w:pStyle w:val="ListBullet"/>
        <w:numPr>
          <w:ilvl w:val="0"/>
          <w:numId w:val="1"/>
        </w:numPr>
        <w:spacing w:lineRule="auto" w:line="276" w:before="0" w:after="60"/>
        <w:ind w:hanging="360" w:start="113"/>
        <w:contextualSpacing/>
        <w:rPr>
          <w:lang w:val="es-ES"/>
        </w:rPr>
      </w:pPr>
      <w:r>
        <w:rPr>
          <w:sz w:val="21"/>
          <w:lang w:val="es-ES"/>
        </w:rPr>
        <w:t>Clip</w:t>
      </w:r>
    </w:p>
    <w:p>
      <w:pPr>
        <w:pStyle w:val="ListBullet"/>
        <w:numPr>
          <w:ilvl w:val="0"/>
          <w:numId w:val="1"/>
        </w:numPr>
        <w:spacing w:lineRule="auto" w:line="276" w:before="0" w:after="60"/>
        <w:ind w:hanging="360" w:start="113"/>
        <w:contextualSpacing/>
        <w:rPr>
          <w:lang w:val="es-ES"/>
        </w:rPr>
      </w:pPr>
      <w:r>
        <w:rPr>
          <w:sz w:val="21"/>
          <w:lang w:val="es-ES"/>
        </w:rPr>
        <w:t>Intersección</w:t>
      </w:r>
    </w:p>
    <w:p>
      <w:pPr>
        <w:pStyle w:val="ListBullet"/>
        <w:numPr>
          <w:ilvl w:val="0"/>
          <w:numId w:val="1"/>
        </w:numPr>
        <w:spacing w:lineRule="auto" w:line="276" w:before="0" w:after="60"/>
        <w:ind w:hanging="360" w:start="113"/>
        <w:contextualSpacing/>
        <w:rPr>
          <w:lang w:val="es-ES"/>
        </w:rPr>
      </w:pPr>
      <w:r>
        <w:rPr>
          <w:sz w:val="21"/>
          <w:lang w:val="es-ES"/>
        </w:rPr>
        <w:t>Merge</w:t>
      </w:r>
    </w:p>
    <w:p>
      <w:pPr>
        <w:pStyle w:val="ListBullet"/>
        <w:numPr>
          <w:ilvl w:val="0"/>
          <w:numId w:val="1"/>
        </w:numPr>
        <w:spacing w:lineRule="auto" w:line="276" w:before="0" w:after="60"/>
        <w:ind w:hanging="360" w:start="113"/>
        <w:contextualSpacing/>
        <w:rPr>
          <w:lang w:val="es-ES"/>
        </w:rPr>
      </w:pPr>
      <w:r>
        <w:rPr>
          <w:sz w:val="21"/>
          <w:lang w:val="es-ES"/>
        </w:rPr>
        <w:t>Diferencia</w:t>
      </w:r>
    </w:p>
    <w:p>
      <w:pPr>
        <w:pStyle w:val="ListBullet"/>
        <w:numPr>
          <w:ilvl w:val="0"/>
          <w:numId w:val="1"/>
        </w:numPr>
        <w:spacing w:lineRule="auto" w:line="276" w:before="0" w:after="60"/>
        <w:ind w:hanging="360" w:start="113"/>
        <w:contextualSpacing/>
        <w:rPr>
          <w:lang w:val="es-ES"/>
        </w:rPr>
      </w:pPr>
      <w:r>
        <w:rPr>
          <w:sz w:val="21"/>
          <w:lang w:val="es-ES"/>
        </w:rPr>
        <w:t>Spatial Join</w:t>
      </w:r>
    </w:p>
    <w:p>
      <w:pPr>
        <w:pStyle w:val="ListBullet"/>
        <w:numPr>
          <w:ilvl w:val="0"/>
          <w:numId w:val="1"/>
        </w:numPr>
        <w:spacing w:lineRule="auto" w:line="276" w:before="0" w:after="60"/>
        <w:ind w:hanging="360" w:start="113"/>
        <w:contextualSpacing/>
        <w:rPr>
          <w:lang w:val="es-ES"/>
        </w:rPr>
      </w:pPr>
      <w:r>
        <w:rPr>
          <w:sz w:val="21"/>
          <w:lang w:val="es-ES"/>
        </w:rPr>
        <w:t>Unión geométrica</w:t>
      </w:r>
    </w:p>
    <w:p>
      <w:pPr>
        <w:pStyle w:val="Normal"/>
        <w:spacing w:lineRule="auto" w:line="276" w:before="0" w:after="120"/>
        <w:rPr>
          <w:lang w:val="es-ES"/>
        </w:rPr>
      </w:pPr>
      <w:r>
        <w:rPr>
          <w:lang w:val="es-ES"/>
        </w:rPr>
        <w:t>La salida se genera como nueva capa vectorial para seguir trabajando en el proyecto o exportarla luego.</w:t>
      </w:r>
    </w:p>
    <w:p>
      <w:pPr>
        <w:pStyle w:val="Heading1"/>
        <w:spacing w:lineRule="auto" w:line="240" w:before="120" w:after="80"/>
        <w:rPr>
          <w:lang w:val="es-ES"/>
        </w:rPr>
      </w:pPr>
      <w:r>
        <w:rPr>
          <w:lang w:val="es-ES"/>
        </w:rPr>
        <w:t>13. Topología y validación</w:t>
      </w:r>
    </w:p>
    <w:p>
      <w:pPr>
        <w:pStyle w:val="Normal"/>
        <w:spacing w:lineRule="auto" w:line="276" w:before="0" w:after="120"/>
        <w:rPr>
          <w:lang w:val="es-ES"/>
        </w:rPr>
      </w:pPr>
      <w:r>
        <w:rPr>
          <w:lang w:val="es-ES"/>
        </w:rPr>
        <w:t>El software incluye comprobaciones básicas sobre geometrías inválidas, duplicados, extremos colgantes, superposiciones y huecos simples. Este bloque es útil para limpiar capas antes de análisis o composición final.</w:t>
      </w:r>
    </w:p>
    <w:p>
      <w:pPr>
        <w:pStyle w:val="Normal"/>
        <w:rPr>
          <w:lang w:val="es-ES"/>
        </w:rPr>
      </w:pPr>
      <w:r>
        <w:rPr>
          <w:lang w:val="es-ES"/>
        </w:rPr>
      </w:r>
    </w:p>
    <w:p>
      <w:pPr>
        <w:pStyle w:val="Heading1"/>
        <w:spacing w:lineRule="auto" w:line="240" w:before="0" w:after="80"/>
        <w:rPr>
          <w:lang w:val="es-ES"/>
        </w:rPr>
      </w:pPr>
      <w:r>
        <w:rPr>
          <w:lang w:val="es-ES"/>
        </w:rPr>
        <w:t>14. Cartografía / CATMAP</w:t>
      </w:r>
    </w:p>
    <w:p>
      <w:pPr>
        <w:pStyle w:val="Normal"/>
        <w:spacing w:lineRule="auto" w:line="276" w:before="0" w:after="120"/>
        <w:rPr>
          <w:lang w:val="es-ES"/>
        </w:rPr>
      </w:pPr>
      <w:r>
        <w:rPr>
          <w:lang w:val="es-ES"/>
        </w:rPr>
        <w:t>CATMAP es el bloque de composición. Permite construir mapas finales con cuadro de mapa, título, norte, escala, elementos de leyenda y salida exportable.</w:t>
      </w:r>
    </w:p>
    <w:p>
      <w:pPr>
        <w:pStyle w:val="ListBullet"/>
        <w:numPr>
          <w:ilvl w:val="0"/>
          <w:numId w:val="1"/>
        </w:numPr>
        <w:spacing w:lineRule="auto" w:line="276" w:before="0" w:after="60"/>
        <w:ind w:hanging="360" w:start="113"/>
        <w:contextualSpacing/>
        <w:rPr>
          <w:lang w:val="es-ES"/>
        </w:rPr>
      </w:pPr>
      <w:r>
        <w:rPr>
          <w:sz w:val="21"/>
          <w:lang w:val="es-ES"/>
        </w:rPr>
        <w:t>Sirve para producir salidas simples y operativas en PDF o imagen.</w:t>
      </w:r>
    </w:p>
    <w:p>
      <w:pPr>
        <w:pStyle w:val="ListBullet"/>
        <w:numPr>
          <w:ilvl w:val="0"/>
          <w:numId w:val="1"/>
        </w:numPr>
        <w:spacing w:lineRule="auto" w:line="276" w:before="0" w:after="60"/>
        <w:ind w:hanging="360" w:start="113"/>
        <w:contextualSpacing/>
        <w:rPr>
          <w:lang w:val="es-ES"/>
        </w:rPr>
      </w:pPr>
      <w:r>
        <w:rPr>
          <w:sz w:val="21"/>
          <w:lang w:val="es-ES"/>
        </w:rPr>
        <w:t>Puede trabajar sobre el contexto actual del mapa principal.</w:t>
      </w:r>
    </w:p>
    <w:p>
      <w:pPr>
        <w:pStyle w:val="ListBullet"/>
        <w:numPr>
          <w:ilvl w:val="0"/>
          <w:numId w:val="1"/>
        </w:numPr>
        <w:spacing w:lineRule="auto" w:line="276" w:before="0" w:after="60"/>
        <w:ind w:hanging="360" w:start="113"/>
        <w:contextualSpacing/>
        <w:rPr>
          <w:lang w:val="es-ES"/>
        </w:rPr>
      </w:pPr>
      <w:r>
        <w:rPr>
          <w:sz w:val="21"/>
          <w:lang w:val="es-ES"/>
        </w:rPr>
        <w:t>Admite integración con mapas base online visibles.</w:t>
      </w:r>
    </w:p>
    <w:p>
      <w:pPr>
        <w:pStyle w:val="Normal"/>
        <w:spacing w:lineRule="auto" w:line="240" w:before="120" w:after="80"/>
        <w:jc w:val="center"/>
        <w:rPr>
          <w:lang w:val="es-ES"/>
        </w:rPr>
      </w:pPr>
      <w:r>
        <w:rPr>
          <w:lang w:val="es-ES"/>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6408420" cy="8710930"/>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4"/>
                    <a:stretch>
                      <a:fillRect/>
                    </a:stretch>
                  </pic:blipFill>
                  <pic:spPr bwMode="auto">
                    <a:xfrm>
                      <a:off x="0" y="0"/>
                      <a:ext cx="6408420" cy="8710930"/>
                    </a:xfrm>
                    <a:prstGeom prst="rect">
                      <a:avLst/>
                    </a:prstGeom>
                    <a:noFill/>
                  </pic:spPr>
                </pic:pic>
              </a:graphicData>
            </a:graphic>
          </wp:anchor>
        </w:drawing>
      </w:r>
    </w:p>
    <w:p>
      <w:pPr>
        <w:pStyle w:val="Normal"/>
        <w:spacing w:lineRule="auto" w:line="240" w:before="0" w:after="160"/>
        <w:jc w:val="center"/>
        <w:rPr>
          <w:lang w:val="es-ES"/>
        </w:rPr>
      </w:pPr>
      <w:r>
        <w:rPr>
          <w:i/>
          <w:color w:val="636F7E"/>
          <w:sz w:val="19"/>
          <w:lang w:val="es-ES"/>
        </w:rPr>
        <w:t>Figura 2. Workspace CATMAP real utilizado para maquetación, control de capas del mapa y exportación final.</w:t>
      </w:r>
    </w:p>
    <w:tbl>
      <w:tblPr>
        <w:tblStyle w:val="TableGrid"/>
        <w:tblW w:w="1009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6"/>
        <w:gridCol w:w="5046"/>
      </w:tblGrid>
      <w:tr>
        <w:trPr/>
        <w:tc>
          <w:tcPr>
            <w:tcW w:w="5046" w:type="dxa"/>
            <w:tcBorders>
              <w:top w:val="single" w:sz="8" w:space="0" w:color="D9E3EE"/>
              <w:start w:val="single" w:sz="8" w:space="0" w:color="D9E3EE"/>
              <w:bottom w:val="single" w:sz="8" w:space="0" w:color="D9E3EE"/>
              <w:end w:val="single" w:sz="8" w:space="0" w:color="D9E3EE"/>
            </w:tcBorders>
            <w:shd w:fill="EEF5FB" w:val="clear"/>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b/>
                <w:color w:val="162F5C"/>
                <w:kern w:val="0"/>
                <w:sz w:val="19"/>
                <w:szCs w:val="22"/>
                <w:lang w:val="es-ES" w:eastAsia="en-US" w:bidi="ar-SA"/>
              </w:rPr>
              <w:t>Área</w:t>
            </w:r>
          </w:p>
        </w:tc>
        <w:tc>
          <w:tcPr>
            <w:tcW w:w="5046" w:type="dxa"/>
            <w:tcBorders>
              <w:top w:val="single" w:sz="8" w:space="0" w:color="D9E3EE"/>
              <w:start w:val="single" w:sz="8" w:space="0" w:color="D9E3EE"/>
              <w:bottom w:val="single" w:sz="8" w:space="0" w:color="D9E3EE"/>
              <w:end w:val="single" w:sz="8" w:space="0" w:color="D9E3EE"/>
            </w:tcBorders>
            <w:shd w:fill="EEF5FB" w:val="clear"/>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b/>
                <w:color w:val="162F5C"/>
                <w:kern w:val="0"/>
                <w:sz w:val="19"/>
                <w:szCs w:val="22"/>
                <w:lang w:val="es-ES" w:eastAsia="en-US" w:bidi="ar-SA"/>
              </w:rPr>
              <w:t>Rol operativo dentro de CATMAP</w:t>
            </w:r>
          </w:p>
        </w:tc>
      </w:tr>
      <w:tr>
        <w:trPr/>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Panel lateral</w:t>
            </w:r>
          </w:p>
        </w:tc>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Define plantilla de layout, tamaño de página, orientación, resolución, tipo y regla de escala, metadatos y elementos auxiliares como norte o leyenda.</w:t>
            </w:r>
          </w:p>
        </w:tc>
      </w:tr>
      <w:tr>
        <w:trPr/>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Documento</w:t>
            </w:r>
          </w:p>
        </w:tc>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Resuelve la salida directa a imagen, PDF o impresión.</w:t>
            </w:r>
          </w:p>
        </w:tc>
      </w:tr>
      <w:tr>
        <w:trPr/>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Trabajo</w:t>
            </w:r>
          </w:p>
        </w:tc>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Alterna entre mover layout, pan del mapa y lupa interna del lienzo.</w:t>
            </w:r>
          </w:p>
        </w:tc>
      </w:tr>
      <w:tr>
        <w:trPr/>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Elementos</w:t>
            </w:r>
          </w:p>
        </w:tc>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Inserta y administra texto, imágenes y figuras geométricas; también permite editar, duplicar, subir, bajar y quitar objetos.</w:t>
            </w:r>
          </w:p>
        </w:tc>
      </w:tr>
      <w:tr>
        <w:trPr/>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Lienzo de composición</w:t>
            </w:r>
          </w:p>
        </w:tc>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Muestra la hoja, el cuadro de mapa y el resto de los elementos cartográficos en vista previa.</w:t>
            </w:r>
          </w:p>
        </w:tc>
      </w:tr>
      <w:tr>
        <w:trPr/>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Capas del mapa</w:t>
            </w:r>
          </w:p>
        </w:tc>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Controla visibilidad, orden y acceso a simbología sin salir del compositor.</w:t>
            </w:r>
          </w:p>
        </w:tc>
      </w:tr>
      <w:tr>
        <w:trPr/>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Exportación final</w:t>
            </w:r>
          </w:p>
        </w:tc>
        <w:tc>
          <w:tcPr>
            <w:tcW w:w="5046" w:type="dxa"/>
            <w:tcBorders>
              <w:top w:val="single" w:sz="8" w:space="0" w:color="D9E3EE"/>
              <w:start w:val="single" w:sz="8" w:space="0" w:color="D9E3EE"/>
              <w:bottom w:val="single" w:sz="8" w:space="0" w:color="D9E3EE"/>
              <w:end w:val="single" w:sz="8" w:space="0" w:color="D9E3EE"/>
            </w:tcBorders>
            <w:vAlign w:val="center"/>
          </w:tcPr>
          <w:p>
            <w:pPr>
              <w:pStyle w:val="Normal"/>
              <w:widowControl/>
              <w:spacing w:lineRule="auto" w:line="264" w:before="0" w:after="0"/>
              <w:jc w:val="start"/>
              <w:rPr>
                <w:rFonts w:eastAsia="ＭＳ 明朝" w:cs=""/>
                <w:kern w:val="0"/>
                <w:szCs w:val="22"/>
                <w:lang w:val="es-ES" w:eastAsia="en-US" w:bidi="ar-SA"/>
              </w:rPr>
            </w:pPr>
            <w:r>
              <w:rPr>
                <w:rFonts w:eastAsia="ＭＳ 明朝" w:cs=""/>
                <w:color w:val="2C3543"/>
                <w:kern w:val="0"/>
                <w:sz w:val="19"/>
                <w:szCs w:val="22"/>
                <w:lang w:val="es-ES" w:eastAsia="en-US" w:bidi="ar-SA"/>
              </w:rPr>
              <w:t>Concentra los accesos inferiores para imagen, PDF, impresión y cierre del workspace.</w:t>
            </w:r>
          </w:p>
        </w:tc>
      </w:tr>
    </w:tbl>
    <w:p>
      <w:pPr>
        <w:pStyle w:val="Normal"/>
        <w:rPr>
          <w:lang w:val="es-ES"/>
        </w:rPr>
      </w:pPr>
      <w:r>
        <w:rPr>
          <w:lang w:val="es-ES"/>
        </w:rPr>
      </w:r>
    </w:p>
    <w:tbl>
      <w:tblPr>
        <w:tblW w:w="1009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092"/>
      </w:tblGrid>
      <w:tr>
        <w:trPr/>
        <w:tc>
          <w:tcPr>
            <w:tcW w:w="10092" w:type="dxa"/>
            <w:tcBorders>
              <w:top w:val="single" w:sz="10" w:space="0" w:color="D0E2F8"/>
              <w:start w:val="single" w:sz="10" w:space="0" w:color="D0E2F8"/>
              <w:bottom w:val="single" w:sz="10" w:space="0" w:color="D0E2F8"/>
              <w:end w:val="single" w:sz="10" w:space="0" w:color="D0E2F8"/>
            </w:tcBorders>
            <w:shd w:fill="F3F8FF" w:val="clear"/>
          </w:tcPr>
          <w:p>
            <w:pPr>
              <w:pStyle w:val="Normal"/>
              <w:spacing w:lineRule="auto" w:line="276" w:before="80" w:after="80"/>
              <w:jc w:val="start"/>
              <w:rPr>
                <w:lang w:val="es-ES"/>
              </w:rPr>
            </w:pPr>
            <w:r>
              <w:rPr>
                <w:b/>
                <w:color w:val="223E66"/>
                <w:lang w:val="es-ES"/>
              </w:rPr>
              <w:t xml:space="preserve">Uso recomendado. </w:t>
            </w:r>
            <w:r>
              <w:rPr>
                <w:color w:val="374351"/>
                <w:lang w:val="es-ES"/>
              </w:rPr>
              <w:t>CATMAP es especialmente útil para salidas operativas rápidas. Cuando el objetivo es una entrega técnica formal, conviene revisar siempre escala, cartucho, metadatos visibles y orden de capas antes de exportar.</w:t>
            </w:r>
          </w:p>
        </w:tc>
      </w:tr>
    </w:tbl>
    <w:p>
      <w:pPr>
        <w:pStyle w:val="Normal"/>
        <w:rPr>
          <w:lang w:val="es-ES"/>
        </w:rPr>
      </w:pPr>
      <w:r>
        <w:rPr>
          <w:lang w:val="es-ES"/>
        </w:rPr>
      </w:r>
    </w:p>
    <w:p>
      <w:pPr>
        <w:pStyle w:val="Normal"/>
        <w:rPr>
          <w:lang w:val="es-ES"/>
        </w:rPr>
      </w:pPr>
      <w:r>
        <w:rPr>
          <w:lang w:val="es-ES"/>
        </w:rPr>
      </w:r>
      <w:r>
        <w:br w:type="page"/>
      </w:r>
    </w:p>
    <w:p>
      <w:pPr>
        <w:pStyle w:val="Heading1"/>
        <w:spacing w:lineRule="auto" w:line="240" w:before="0" w:after="80"/>
        <w:rPr>
          <w:lang w:val="es-ES"/>
        </w:rPr>
      </w:pPr>
      <w:r>
        <w:rPr>
          <w:lang w:val="es-ES"/>
        </w:rPr>
        <w:t>15. DEM, relieve y topografía</w:t>
      </w:r>
    </w:p>
    <w:p>
      <w:pPr>
        <w:pStyle w:val="Normal"/>
        <w:spacing w:lineRule="auto" w:line="276" w:before="0" w:after="120"/>
        <w:rPr>
          <w:lang w:val="es-ES"/>
        </w:rPr>
      </w:pPr>
      <w:r>
        <w:rPr>
          <w:lang w:val="es-ES"/>
        </w:rPr>
        <w:t>El bloque topográfico es uno de los núcleos fuertes actuales de CATGIS.</w:t>
      </w:r>
    </w:p>
    <w:p>
      <w:pPr>
        <w:pStyle w:val="ListBullet"/>
        <w:numPr>
          <w:ilvl w:val="0"/>
          <w:numId w:val="1"/>
        </w:numPr>
        <w:spacing w:lineRule="auto" w:line="276" w:before="0" w:after="60"/>
        <w:ind w:hanging="360" w:start="113"/>
        <w:contextualSpacing/>
        <w:rPr>
          <w:lang w:val="es-ES"/>
        </w:rPr>
      </w:pPr>
      <w:r>
        <w:rPr>
          <w:sz w:val="21"/>
          <w:lang w:val="es-ES"/>
        </w:rPr>
        <w:t>descarga DEM online;</w:t>
      </w:r>
    </w:p>
    <w:p>
      <w:pPr>
        <w:pStyle w:val="ListBullet"/>
        <w:numPr>
          <w:ilvl w:val="0"/>
          <w:numId w:val="1"/>
        </w:numPr>
        <w:spacing w:lineRule="auto" w:line="276" w:before="0" w:after="60"/>
        <w:ind w:hanging="360" w:start="113"/>
        <w:contextualSpacing/>
        <w:rPr>
          <w:lang w:val="es-ES"/>
        </w:rPr>
      </w:pPr>
      <w:r>
        <w:rPr>
          <w:sz w:val="21"/>
          <w:lang w:val="es-ES"/>
        </w:rPr>
        <w:t>carga DEM local;</w:t>
      </w:r>
    </w:p>
    <w:p>
      <w:pPr>
        <w:pStyle w:val="ListBullet"/>
        <w:numPr>
          <w:ilvl w:val="0"/>
          <w:numId w:val="1"/>
        </w:numPr>
        <w:spacing w:lineRule="auto" w:line="276" w:before="0" w:after="60"/>
        <w:ind w:hanging="360" w:start="113"/>
        <w:contextualSpacing/>
        <w:rPr>
          <w:lang w:val="es-ES"/>
        </w:rPr>
      </w:pPr>
      <w:r>
        <w:rPr>
          <w:sz w:val="21"/>
          <w:lang w:val="es-ES"/>
        </w:rPr>
        <w:t>recorte de DEM por vista o máscara;</w:t>
      </w:r>
    </w:p>
    <w:p>
      <w:pPr>
        <w:pStyle w:val="ListBullet"/>
        <w:numPr>
          <w:ilvl w:val="0"/>
          <w:numId w:val="1"/>
        </w:numPr>
        <w:spacing w:lineRule="auto" w:line="276" w:before="0" w:after="60"/>
        <w:ind w:hanging="360" w:start="113"/>
        <w:contextualSpacing/>
        <w:rPr>
          <w:lang w:val="es-ES"/>
        </w:rPr>
      </w:pPr>
      <w:r>
        <w:rPr>
          <w:sz w:val="21"/>
          <w:lang w:val="es-ES"/>
        </w:rPr>
        <w:t>curvas de nivel con control de umbral;</w:t>
      </w:r>
    </w:p>
    <w:p>
      <w:pPr>
        <w:pStyle w:val="ListBullet"/>
        <w:numPr>
          <w:ilvl w:val="0"/>
          <w:numId w:val="1"/>
        </w:numPr>
        <w:spacing w:lineRule="auto" w:line="276" w:before="0" w:after="60"/>
        <w:ind w:hanging="360" w:start="113"/>
        <w:contextualSpacing/>
        <w:rPr>
          <w:lang w:val="es-ES"/>
        </w:rPr>
      </w:pPr>
      <w:r>
        <w:rPr>
          <w:sz w:val="21"/>
          <w:lang w:val="es-ES"/>
        </w:rPr>
        <w:t>hillshade, pendiente, aspecto, dirección y acumulación de flujo;</w:t>
      </w:r>
    </w:p>
    <w:p>
      <w:pPr>
        <w:pStyle w:val="ListBullet"/>
        <w:numPr>
          <w:ilvl w:val="0"/>
          <w:numId w:val="1"/>
        </w:numPr>
        <w:spacing w:lineRule="auto" w:line="276" w:before="0" w:after="60"/>
        <w:ind w:hanging="360" w:start="113"/>
        <w:contextualSpacing/>
        <w:rPr>
          <w:lang w:val="es-ES"/>
        </w:rPr>
      </w:pPr>
      <w:r>
        <w:rPr>
          <w:sz w:val="21"/>
          <w:lang w:val="es-ES"/>
        </w:rPr>
        <w:t>perfil topográfico.</w:t>
      </w:r>
    </w:p>
    <w:p>
      <w:pPr>
        <w:pStyle w:val="Normal"/>
        <w:spacing w:lineRule="auto" w:line="276" w:before="0" w:after="120"/>
        <w:rPr>
          <w:lang w:val="es-ES"/>
        </w:rPr>
      </w:pPr>
      <w:r>
        <w:rPr>
          <w:lang w:val="es-ES"/>
        </w:rPr>
        <w:t>Los productos derivados del DEM ya trabajan bajo una política de coherencia espacial más fuerte: el DEM operativo manda sobre el CRS y el espacio de trabajo del análisis.</w:t>
      </w:r>
    </w:p>
    <w:p>
      <w:pPr>
        <w:pStyle w:val="Heading1"/>
        <w:spacing w:lineRule="auto" w:line="240" w:before="120" w:after="80"/>
        <w:rPr>
          <w:lang w:val="es-ES"/>
        </w:rPr>
      </w:pPr>
      <w:r>
        <w:rPr>
          <w:lang w:val="es-ES"/>
        </w:rPr>
        <w:t>16. Hidrología, escorrentía y cuencas</w:t>
      </w:r>
    </w:p>
    <w:p>
      <w:pPr>
        <w:pStyle w:val="Normal"/>
        <w:spacing w:lineRule="auto" w:line="276" w:before="0" w:after="120"/>
        <w:rPr>
          <w:lang w:val="es-ES"/>
        </w:rPr>
      </w:pPr>
      <w:r>
        <w:rPr>
          <w:lang w:val="es-ES"/>
        </w:rPr>
        <w:t>CATGIS ya resuelve una hidrología preliminar útil para trabajo territorial y técnico exploratorio.</w:t>
      </w:r>
    </w:p>
    <w:p>
      <w:pPr>
        <w:pStyle w:val="ListBullet"/>
        <w:numPr>
          <w:ilvl w:val="0"/>
          <w:numId w:val="1"/>
        </w:numPr>
        <w:spacing w:lineRule="auto" w:line="276" w:before="0" w:after="60"/>
        <w:ind w:hanging="360" w:start="113"/>
        <w:contextualSpacing/>
        <w:rPr>
          <w:lang w:val="es-ES"/>
        </w:rPr>
      </w:pPr>
      <w:r>
        <w:rPr>
          <w:sz w:val="21"/>
          <w:lang w:val="es-ES"/>
        </w:rPr>
        <w:t>escorrentías y red de drenaje;</w:t>
      </w:r>
    </w:p>
    <w:p>
      <w:pPr>
        <w:pStyle w:val="ListBullet"/>
        <w:numPr>
          <w:ilvl w:val="0"/>
          <w:numId w:val="1"/>
        </w:numPr>
        <w:spacing w:lineRule="auto" w:line="276" w:before="0" w:after="60"/>
        <w:ind w:hanging="360" w:start="113"/>
        <w:contextualSpacing/>
        <w:rPr>
          <w:lang w:val="es-ES"/>
        </w:rPr>
      </w:pPr>
      <w:r>
        <w:rPr>
          <w:sz w:val="21"/>
          <w:lang w:val="es-ES"/>
        </w:rPr>
        <w:t>análisis hidrológico con hillshade, pendiente, aspecto, acumulación y flujo;</w:t>
      </w:r>
    </w:p>
    <w:p>
      <w:pPr>
        <w:pStyle w:val="ListBullet"/>
        <w:numPr>
          <w:ilvl w:val="0"/>
          <w:numId w:val="1"/>
        </w:numPr>
        <w:spacing w:lineRule="auto" w:line="276" w:before="0" w:after="60"/>
        <w:ind w:hanging="360" w:start="113"/>
        <w:contextualSpacing/>
        <w:rPr>
          <w:lang w:val="es-ES"/>
        </w:rPr>
      </w:pPr>
      <w:r>
        <w:rPr>
          <w:sz w:val="21"/>
          <w:lang w:val="es-ES"/>
        </w:rPr>
        <w:t>cuencas y subcuencas básicas;</w:t>
      </w:r>
    </w:p>
    <w:p>
      <w:pPr>
        <w:pStyle w:val="ListBullet"/>
        <w:numPr>
          <w:ilvl w:val="0"/>
          <w:numId w:val="1"/>
        </w:numPr>
        <w:spacing w:lineRule="auto" w:line="276" w:before="0" w:after="60"/>
        <w:ind w:hanging="360" w:start="113"/>
        <w:contextualSpacing/>
        <w:rPr>
          <w:lang w:val="es-ES"/>
        </w:rPr>
      </w:pPr>
      <w:r>
        <w:rPr>
          <w:sz w:val="21"/>
          <w:lang w:val="es-ES"/>
        </w:rPr>
        <w:t>outlets y cuenca por outlet;</w:t>
      </w:r>
    </w:p>
    <w:p>
      <w:pPr>
        <w:pStyle w:val="ListBullet"/>
        <w:numPr>
          <w:ilvl w:val="0"/>
          <w:numId w:val="1"/>
        </w:numPr>
        <w:spacing w:lineRule="auto" w:line="276" w:before="0" w:after="60"/>
        <w:ind w:hanging="360" w:start="113"/>
        <w:contextualSpacing/>
        <w:rPr>
          <w:lang w:val="es-ES"/>
        </w:rPr>
      </w:pPr>
      <w:r>
        <w:rPr>
          <w:sz w:val="21"/>
          <w:lang w:val="es-ES"/>
        </w:rPr>
        <w:t>soporte por lote para múltiples outlets.</w:t>
      </w:r>
    </w:p>
    <w:p>
      <w:pPr>
        <w:pStyle w:val="Heading1"/>
        <w:spacing w:lineRule="auto" w:line="240" w:before="120" w:after="80"/>
        <w:rPr>
          <w:lang w:val="es-ES"/>
        </w:rPr>
      </w:pPr>
      <w:r>
        <w:rPr>
          <w:lang w:val="es-ES"/>
        </w:rPr>
        <w:t>17. Inundación preliminar</w:t>
      </w:r>
    </w:p>
    <w:p>
      <w:pPr>
        <w:pStyle w:val="Normal"/>
        <w:spacing w:lineRule="auto" w:line="276" w:before="0" w:after="120"/>
        <w:rPr>
          <w:lang w:val="es-ES"/>
        </w:rPr>
      </w:pPr>
      <w:r>
        <w:rPr>
          <w:lang w:val="es-ES"/>
        </w:rPr>
        <w:t>El módulo de inundación permite generar escenarios de anegamiento preliminar a partir de lluvia en milímetros, relieve local y umbrales operativos configurables. También soporta corrida múltiple de escenarios y exportación explícita a GeoTIFF.</w:t>
      </w:r>
    </w:p>
    <w:p>
      <w:pPr>
        <w:pStyle w:val="Normal"/>
        <w:spacing w:lineRule="auto" w:line="276" w:before="0" w:after="120"/>
        <w:rPr>
          <w:lang w:val="es-ES"/>
        </w:rPr>
      </w:pPr>
      <w:r>
        <w:rPr>
          <w:lang w:val="es-ES"/>
        </w:rPr>
        <w:t>Su lectura debe ser prudente: sirve para análisis comparativo y territorial, no para ingeniería hidráulica 1D/2D de precisión.</w:t>
      </w:r>
    </w:p>
    <w:p>
      <w:pPr>
        <w:pStyle w:val="Heading1"/>
        <w:spacing w:lineRule="auto" w:line="240" w:before="120" w:after="80"/>
        <w:rPr>
          <w:lang w:val="es-ES"/>
        </w:rPr>
      </w:pPr>
      <w:r>
        <w:rPr>
          <w:lang w:val="es-ES"/>
        </w:rPr>
        <w:t>18. Suelos online</w:t>
      </w:r>
    </w:p>
    <w:p>
      <w:pPr>
        <w:pStyle w:val="Normal"/>
        <w:spacing w:lineRule="auto" w:line="276" w:before="0" w:after="120"/>
        <w:rPr>
          <w:lang w:val="es-ES"/>
        </w:rPr>
      </w:pPr>
      <w:r>
        <w:rPr>
          <w:lang w:val="es-ES"/>
        </w:rPr>
        <w:t>CATGIS integra SoilGrids como fuente global inicial para incorporar propiedades del suelo como raster operativo dentro del proyecto. Actualmente se contemplan, entre otras, arcilla, arena, limo y carbono orgánico.</w:t>
      </w:r>
    </w:p>
    <w:p>
      <w:pPr>
        <w:pStyle w:val="ListBullet"/>
        <w:numPr>
          <w:ilvl w:val="0"/>
          <w:numId w:val="1"/>
        </w:numPr>
        <w:spacing w:lineRule="auto" w:line="276" w:before="0" w:after="60"/>
        <w:ind w:hanging="360" w:start="113"/>
        <w:contextualSpacing/>
        <w:rPr>
          <w:lang w:val="es-ES"/>
        </w:rPr>
      </w:pPr>
      <w:r>
        <w:rPr>
          <w:sz w:val="21"/>
          <w:lang w:val="es-ES"/>
        </w:rPr>
        <w:t>se descarga por área;</w:t>
      </w:r>
    </w:p>
    <w:p>
      <w:pPr>
        <w:pStyle w:val="ListBullet"/>
        <w:numPr>
          <w:ilvl w:val="0"/>
          <w:numId w:val="1"/>
        </w:numPr>
        <w:spacing w:lineRule="auto" w:line="276" w:before="0" w:after="60"/>
        <w:ind w:hanging="360" w:start="113"/>
        <w:contextualSpacing/>
        <w:rPr>
          <w:lang w:val="es-ES"/>
        </w:rPr>
      </w:pPr>
      <w:r>
        <w:rPr>
          <w:sz w:val="21"/>
          <w:lang w:val="es-ES"/>
        </w:rPr>
        <w:t>se incorpora con CRS coherente al proyecto;</w:t>
      </w:r>
    </w:p>
    <w:p>
      <w:pPr>
        <w:pStyle w:val="ListBullet"/>
        <w:numPr>
          <w:ilvl w:val="0"/>
          <w:numId w:val="1"/>
        </w:numPr>
        <w:spacing w:lineRule="auto" w:line="276" w:before="0" w:after="60"/>
        <w:ind w:hanging="360" w:start="113"/>
        <w:contextualSpacing/>
        <w:rPr>
          <w:lang w:val="es-ES"/>
        </w:rPr>
      </w:pPr>
      <w:r>
        <w:rPr>
          <w:sz w:val="21"/>
          <w:lang w:val="es-ES"/>
        </w:rPr>
        <w:t>queda listo para cruces posteriores con DEM, pendiente y riesgo booleano.</w:t>
      </w:r>
    </w:p>
    <w:p>
      <w:pPr>
        <w:pStyle w:val="Heading1"/>
        <w:spacing w:lineRule="auto" w:line="240" w:before="120" w:after="80"/>
        <w:rPr>
          <w:lang w:val="es-ES"/>
        </w:rPr>
      </w:pPr>
      <w:r>
        <w:rPr>
          <w:lang w:val="es-ES"/>
        </w:rPr>
        <w:t>19. Riesgo booleano preliminar</w:t>
      </w:r>
    </w:p>
    <w:p>
      <w:pPr>
        <w:pStyle w:val="Normal"/>
        <w:spacing w:lineRule="auto" w:line="276" w:before="0" w:after="120"/>
        <w:rPr>
          <w:lang w:val="es-ES"/>
        </w:rPr>
      </w:pPr>
      <w:r>
        <w:rPr>
          <w:lang w:val="es-ES"/>
        </w:rPr>
        <w:t>Este bloque permite combinar pendiente derivada del DEM y raster de suelos mediante reglas simples y lógicas AND / OR . El flujo actual genera:</w:t>
      </w:r>
    </w:p>
    <w:p>
      <w:pPr>
        <w:pStyle w:val="ListBullet"/>
        <w:numPr>
          <w:ilvl w:val="0"/>
          <w:numId w:val="1"/>
        </w:numPr>
        <w:spacing w:lineRule="auto" w:line="276" w:before="0" w:after="60"/>
        <w:ind w:hanging="360" w:start="113"/>
        <w:contextualSpacing/>
        <w:rPr>
          <w:lang w:val="es-ES"/>
        </w:rPr>
      </w:pPr>
      <w:r>
        <w:rPr>
          <w:sz w:val="21"/>
          <w:lang w:val="es-ES"/>
        </w:rPr>
        <w:t>máscara de pendiente;</w:t>
      </w:r>
    </w:p>
    <w:p>
      <w:pPr>
        <w:pStyle w:val="ListBullet"/>
        <w:numPr>
          <w:ilvl w:val="0"/>
          <w:numId w:val="1"/>
        </w:numPr>
        <w:spacing w:lineRule="auto" w:line="276" w:before="0" w:after="60"/>
        <w:ind w:hanging="360" w:start="113"/>
        <w:contextualSpacing/>
        <w:rPr>
          <w:lang w:val="es-ES"/>
        </w:rPr>
      </w:pPr>
      <w:r>
        <w:rPr>
          <w:sz w:val="21"/>
          <w:lang w:val="es-ES"/>
        </w:rPr>
        <w:t>máscara de suelo;</w:t>
      </w:r>
    </w:p>
    <w:p>
      <w:pPr>
        <w:pStyle w:val="ListBullet"/>
        <w:numPr>
          <w:ilvl w:val="0"/>
          <w:numId w:val="1"/>
        </w:numPr>
        <w:spacing w:lineRule="auto" w:line="276" w:before="0" w:after="60"/>
        <w:ind w:hanging="360" w:start="113"/>
        <w:contextualSpacing/>
        <w:rPr>
          <w:lang w:val="es-ES"/>
        </w:rPr>
      </w:pPr>
      <w:r>
        <w:rPr>
          <w:sz w:val="21"/>
          <w:lang w:val="es-ES"/>
        </w:rPr>
        <w:t>raster de riesgo preliminar;</w:t>
      </w:r>
    </w:p>
    <w:p>
      <w:pPr>
        <w:pStyle w:val="ListBullet"/>
        <w:numPr>
          <w:ilvl w:val="0"/>
          <w:numId w:val="1"/>
        </w:numPr>
        <w:spacing w:lineRule="auto" w:line="276" w:before="0" w:after="60"/>
        <w:ind w:hanging="360" w:start="113"/>
        <w:contextualSpacing/>
        <w:rPr>
          <w:lang w:val="es-ES"/>
        </w:rPr>
      </w:pPr>
      <w:r>
        <w:rPr>
          <w:sz w:val="21"/>
          <w:lang w:val="es-ES"/>
        </w:rPr>
        <w:t>vectorización positiva opcional;</w:t>
      </w:r>
    </w:p>
    <w:p>
      <w:pPr>
        <w:pStyle w:val="ListBullet"/>
        <w:numPr>
          <w:ilvl w:val="0"/>
          <w:numId w:val="1"/>
        </w:numPr>
        <w:spacing w:lineRule="auto" w:line="276" w:before="0" w:after="60"/>
        <w:ind w:hanging="360" w:start="113"/>
        <w:contextualSpacing/>
        <w:rPr>
          <w:lang w:val="es-ES"/>
        </w:rPr>
      </w:pPr>
      <w:r>
        <w:rPr>
          <w:sz w:val="21"/>
          <w:lang w:val="es-ES"/>
        </w:rPr>
        <w:t>resumen técnico básico del resultado.</w:t>
      </w:r>
    </w:p>
    <w:p>
      <w:pPr>
        <w:pStyle w:val="Heading1"/>
        <w:spacing w:lineRule="auto" w:line="240" w:before="120" w:after="80"/>
        <w:rPr>
          <w:lang w:val="es-ES"/>
        </w:rPr>
      </w:pPr>
      <w:r>
        <w:rPr>
          <w:lang w:val="es-ES"/>
        </w:rPr>
        <w:t>20. Exportación y persistencia</w:t>
      </w:r>
    </w:p>
    <w:p>
      <w:pPr>
        <w:pStyle w:val="Normal"/>
        <w:spacing w:lineRule="auto" w:line="276" w:before="0" w:after="120"/>
        <w:rPr>
          <w:lang w:val="es-ES"/>
        </w:rPr>
      </w:pPr>
      <w:r>
        <w:rPr>
          <w:lang w:val="es-ES"/>
        </w:rPr>
        <w:t>CATGIS conserva un enfoque práctico: los proyectos .catgis mantienen capas, orden, CRS operativo y parte importante del estado de trabajo. Los resultados raster y vectoriales pueden seguir usándose dentro del proyecto y, en varios casos, exportarse para otros GIS.</w:t>
      </w:r>
    </w:p>
    <w:p>
      <w:pPr>
        <w:pStyle w:val="ListBullet"/>
        <w:numPr>
          <w:ilvl w:val="0"/>
          <w:numId w:val="1"/>
        </w:numPr>
        <w:spacing w:lineRule="auto" w:line="276" w:before="0" w:after="60"/>
        <w:ind w:hanging="360" w:start="113"/>
        <w:contextualSpacing/>
        <w:rPr>
          <w:lang w:val="es-ES"/>
        </w:rPr>
      </w:pPr>
      <w:r>
        <w:rPr>
          <w:sz w:val="21"/>
          <w:lang w:val="es-ES"/>
        </w:rPr>
        <w:t>CATMAP exporta mapas a PDF e imagen.</w:t>
      </w:r>
    </w:p>
    <w:p>
      <w:pPr>
        <w:pStyle w:val="ListBullet"/>
        <w:numPr>
          <w:ilvl w:val="0"/>
          <w:numId w:val="1"/>
        </w:numPr>
        <w:spacing w:lineRule="auto" w:line="276" w:before="0" w:after="60"/>
        <w:ind w:hanging="360" w:start="113"/>
        <w:contextualSpacing/>
        <w:rPr>
          <w:lang w:val="es-ES"/>
        </w:rPr>
      </w:pPr>
      <w:r>
        <w:rPr>
          <w:sz w:val="21"/>
          <w:lang w:val="es-ES"/>
        </w:rPr>
        <w:t>El escenario preliminar de inundación puede salir como GeoTIFF.</w:t>
      </w:r>
    </w:p>
    <w:p>
      <w:pPr>
        <w:pStyle w:val="ListBullet"/>
        <w:numPr>
          <w:ilvl w:val="0"/>
          <w:numId w:val="1"/>
        </w:numPr>
        <w:spacing w:lineRule="auto" w:line="276" w:before="0" w:after="60"/>
        <w:ind w:hanging="360" w:start="113"/>
        <w:contextualSpacing/>
        <w:rPr>
          <w:lang w:val="es-ES"/>
        </w:rPr>
      </w:pPr>
      <w:r>
        <w:rPr>
          <w:sz w:val="21"/>
          <w:lang w:val="es-ES"/>
        </w:rPr>
        <w:t>Las capas vectoriales derivadas pueden reutilizarse y exportarse según el flujo.</w:t>
      </w:r>
    </w:p>
    <w:p>
      <w:pPr>
        <w:pStyle w:val="ListBullet"/>
        <w:numPr>
          <w:ilvl w:val="0"/>
          <w:numId w:val="1"/>
        </w:numPr>
        <w:spacing w:lineRule="auto" w:line="276" w:before="0" w:after="60"/>
        <w:ind w:hanging="360" w:start="113"/>
        <w:contextualSpacing/>
        <w:rPr>
          <w:lang w:val="es-ES"/>
        </w:rPr>
      </w:pPr>
      <w:r>
        <w:rPr>
          <w:sz w:val="21"/>
          <w:lang w:val="es-ES"/>
        </w:rPr>
        <w:t>La reapertura del proyecto preserva mejor la coherencia espacial que en etapas anteriores.</w:t>
      </w:r>
    </w:p>
    <w:p>
      <w:pPr>
        <w:pStyle w:val="Heading1"/>
        <w:spacing w:lineRule="auto" w:line="240" w:before="120" w:after="80"/>
        <w:rPr>
          <w:lang w:val="es-ES"/>
        </w:rPr>
      </w:pPr>
      <w:r>
        <w:rPr>
          <w:lang w:val="es-ES"/>
        </w:rPr>
        <w:t>21. Limitaciones y buenas prácticas</w:t>
      </w:r>
    </w:p>
    <w:p>
      <w:pPr>
        <w:pStyle w:val="ListBullet"/>
        <w:numPr>
          <w:ilvl w:val="0"/>
          <w:numId w:val="1"/>
        </w:numPr>
        <w:spacing w:lineRule="auto" w:line="276" w:before="0" w:after="60"/>
        <w:ind w:hanging="360" w:start="113"/>
        <w:contextualSpacing/>
        <w:rPr>
          <w:lang w:val="es-ES"/>
        </w:rPr>
      </w:pPr>
      <w:r>
        <w:rPr>
          <w:sz w:val="21"/>
          <w:lang w:val="es-ES"/>
        </w:rPr>
        <w:t>Verificar el CRS del proyecto antes de análisis DEM/hidrológicos.</w:t>
      </w:r>
    </w:p>
    <w:p>
      <w:pPr>
        <w:pStyle w:val="ListBullet"/>
        <w:numPr>
          <w:ilvl w:val="0"/>
          <w:numId w:val="1"/>
        </w:numPr>
        <w:spacing w:lineRule="auto" w:line="276" w:before="0" w:after="60"/>
        <w:ind w:hanging="360" w:start="113"/>
        <w:contextualSpacing/>
        <w:rPr>
          <w:lang w:val="es-ES"/>
        </w:rPr>
      </w:pPr>
      <w:r>
        <w:rPr>
          <w:sz w:val="21"/>
          <w:lang w:val="es-ES"/>
        </w:rPr>
        <w:t>Preferir recortar el DEM cuando el área útil es menor que el raster completo.</w:t>
      </w:r>
    </w:p>
    <w:p>
      <w:pPr>
        <w:pStyle w:val="ListBullet"/>
        <w:numPr>
          <w:ilvl w:val="0"/>
          <w:numId w:val="1"/>
        </w:numPr>
        <w:spacing w:lineRule="auto" w:line="276" w:before="0" w:after="60"/>
        <w:ind w:hanging="360" w:start="113"/>
        <w:contextualSpacing/>
        <w:rPr>
          <w:lang w:val="es-ES"/>
        </w:rPr>
      </w:pPr>
      <w:r>
        <w:rPr>
          <w:sz w:val="21"/>
          <w:lang w:val="es-ES"/>
        </w:rPr>
        <w:t>No exigir microdetalle a DEM globales o a suelos modelados de resolución media.</w:t>
      </w:r>
    </w:p>
    <w:p>
      <w:pPr>
        <w:pStyle w:val="ListBullet"/>
        <w:numPr>
          <w:ilvl w:val="0"/>
          <w:numId w:val="1"/>
        </w:numPr>
        <w:spacing w:lineRule="auto" w:line="276" w:before="0" w:after="60"/>
        <w:ind w:hanging="360" w:start="113"/>
        <w:contextualSpacing/>
        <w:rPr>
          <w:lang w:val="es-ES"/>
        </w:rPr>
      </w:pPr>
      <w:r>
        <w:rPr>
          <w:sz w:val="21"/>
          <w:lang w:val="es-ES"/>
        </w:rPr>
        <w:t>Separar claramente visualización preliminar de modelado especializado.</w:t>
      </w:r>
    </w:p>
    <w:p>
      <w:pPr>
        <w:pStyle w:val="ListBullet"/>
        <w:numPr>
          <w:ilvl w:val="0"/>
          <w:numId w:val="1"/>
        </w:numPr>
        <w:spacing w:lineRule="auto" w:line="276" w:before="0" w:after="60"/>
        <w:ind w:hanging="360" w:start="113"/>
        <w:contextualSpacing/>
        <w:rPr>
          <w:lang w:val="es-ES"/>
        </w:rPr>
      </w:pPr>
      <w:r>
        <w:rPr>
          <w:sz w:val="21"/>
          <w:lang w:val="es-ES"/>
        </w:rPr>
        <w:t>Guardar versiones de proyecto antes de sesiones largas de edición o análisis.</w:t>
      </w:r>
    </w:p>
    <w:p>
      <w:pPr>
        <w:pStyle w:val="Normal"/>
        <w:rPr>
          <w:lang w:val="es-ES"/>
        </w:rPr>
      </w:pPr>
      <w:r>
        <w:rPr>
          <w:lang w:val="es-ES"/>
        </w:rPr>
      </w:r>
      <w:r>
        <w:br w:type="page"/>
      </w:r>
    </w:p>
    <w:p>
      <w:pPr>
        <w:pStyle w:val="Heading1"/>
        <w:spacing w:lineRule="auto" w:line="240" w:before="0" w:after="80"/>
        <w:rPr>
          <w:lang w:val="es-ES"/>
        </w:rPr>
      </w:pPr>
      <w:r>
        <w:rPr>
          <w:lang w:val="es-ES"/>
        </w:rPr>
        <w:t>22. Glosario visual de iconos</w:t>
      </w:r>
    </w:p>
    <w:p>
      <w:pPr>
        <w:pStyle w:val="Normal"/>
        <w:spacing w:lineRule="auto" w:line="276" w:before="0" w:after="120"/>
        <w:rPr>
          <w:lang w:val="es-ES"/>
        </w:rPr>
      </w:pPr>
      <w:r>
        <w:rPr>
          <w:lang w:val="es-ES"/>
        </w:rPr>
        <w:t>El glosario visual se conserva como atlas gráfico directo. Para evitar reflujo y superposición de texto, esta edición incorpora las páginas del anexo como imágenes completas de referencia, preservando el contenido real de iconos sin remaquetación agresiva.</w:t>
      </w:r>
    </w:p>
    <w:p>
      <w:pPr>
        <w:pStyle w:val="ListBullet"/>
        <w:numPr>
          <w:ilvl w:val="0"/>
          <w:numId w:val="1"/>
        </w:numPr>
        <w:spacing w:lineRule="auto" w:line="276" w:before="0" w:after="60"/>
        <w:ind w:hanging="360" w:start="113"/>
        <w:contextualSpacing/>
        <w:rPr>
          <w:lang w:val="es-ES"/>
        </w:rPr>
      </w:pPr>
      <w:r>
        <w:rPr>
          <w:sz w:val="21"/>
          <w:lang w:val="es-ES"/>
        </w:rPr>
        <w:t>Proyecto y archivo.</w:t>
      </w:r>
    </w:p>
    <w:p>
      <w:pPr>
        <w:pStyle w:val="ListBullet"/>
        <w:numPr>
          <w:ilvl w:val="0"/>
          <w:numId w:val="1"/>
        </w:numPr>
        <w:spacing w:lineRule="auto" w:line="276" w:before="0" w:after="60"/>
        <w:ind w:hanging="360" w:start="113"/>
        <w:contextualSpacing/>
        <w:rPr>
          <w:lang w:val="es-ES"/>
        </w:rPr>
      </w:pPr>
      <w:r>
        <w:rPr>
          <w:sz w:val="21"/>
          <w:lang w:val="es-ES"/>
        </w:rPr>
        <w:t>Navegación y visualización.</w:t>
      </w:r>
    </w:p>
    <w:p>
      <w:pPr>
        <w:pStyle w:val="ListBullet"/>
        <w:numPr>
          <w:ilvl w:val="0"/>
          <w:numId w:val="1"/>
        </w:numPr>
        <w:spacing w:lineRule="auto" w:line="276" w:before="0" w:after="60"/>
        <w:ind w:hanging="360" w:start="113"/>
        <w:contextualSpacing/>
        <w:rPr>
          <w:lang w:val="es-ES"/>
        </w:rPr>
      </w:pPr>
      <w:r>
        <w:rPr>
          <w:sz w:val="21"/>
          <w:lang w:val="es-ES"/>
        </w:rPr>
        <w:t>Selección, edición vectorial y sesión.</w:t>
      </w:r>
    </w:p>
    <w:p>
      <w:pPr>
        <w:pStyle w:val="ListBullet"/>
        <w:numPr>
          <w:ilvl w:val="0"/>
          <w:numId w:val="1"/>
        </w:numPr>
        <w:spacing w:lineRule="auto" w:line="276" w:before="0" w:after="60"/>
        <w:ind w:hanging="360" w:start="113"/>
        <w:contextualSpacing/>
        <w:rPr>
          <w:lang w:val="es-ES"/>
        </w:rPr>
      </w:pPr>
      <w:r>
        <w:rPr>
          <w:sz w:val="21"/>
          <w:lang w:val="es-ES"/>
        </w:rPr>
        <w:t>CAD y geometría.</w:t>
      </w:r>
    </w:p>
    <w:p>
      <w:pPr>
        <w:pStyle w:val="ListBullet"/>
        <w:numPr>
          <w:ilvl w:val="0"/>
          <w:numId w:val="1"/>
        </w:numPr>
        <w:spacing w:lineRule="auto" w:line="276" w:before="0" w:after="60"/>
        <w:ind w:hanging="360" w:start="113"/>
        <w:contextualSpacing/>
        <w:rPr>
          <w:lang w:val="es-ES"/>
        </w:rPr>
      </w:pPr>
      <w:r>
        <w:rPr>
          <w:sz w:val="21"/>
          <w:lang w:val="es-ES"/>
        </w:rPr>
        <w:t>Topografía, DEM e hidrología.</w:t>
      </w:r>
    </w:p>
    <w:p>
      <w:pPr>
        <w:pStyle w:val="ListBullet"/>
        <w:numPr>
          <w:ilvl w:val="0"/>
          <w:numId w:val="1"/>
        </w:numPr>
        <w:spacing w:lineRule="auto" w:line="276" w:before="0" w:after="60"/>
        <w:ind w:hanging="360" w:start="113"/>
        <w:contextualSpacing/>
        <w:rPr>
          <w:lang w:val="es-ES"/>
        </w:rPr>
      </w:pPr>
      <w:r>
        <w:rPr>
          <w:sz w:val="21"/>
          <w:lang w:val="es-ES"/>
        </w:rPr>
        <w:t>Cartografía y conexiones online.</w:t>
      </w:r>
    </w:p>
    <w:p>
      <w:pPr>
        <w:pStyle w:val="ListBullet"/>
        <w:numPr>
          <w:ilvl w:val="0"/>
          <w:numId w:val="1"/>
        </w:numPr>
        <w:spacing w:lineRule="auto" w:line="276" w:before="0" w:after="60"/>
        <w:ind w:hanging="360" w:start="113"/>
        <w:contextualSpacing/>
        <w:rPr>
          <w:lang w:val="es-ES"/>
        </w:rPr>
      </w:pPr>
      <w:r>
        <w:rPr>
          <w:sz w:val="21"/>
          <w:lang w:val="es-ES"/>
        </w:rPr>
        <w:t>Iconos de menús y acceso complementario.</w:t>
      </w:r>
    </w:p>
    <w:tbl>
      <w:tblPr>
        <w:tblW w:w="1009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092"/>
      </w:tblGrid>
      <w:tr>
        <w:trPr/>
        <w:tc>
          <w:tcPr>
            <w:tcW w:w="10092" w:type="dxa"/>
            <w:tcBorders>
              <w:top w:val="single" w:sz="10" w:space="0" w:color="D0E2F8"/>
              <w:start w:val="single" w:sz="10" w:space="0" w:color="D0E2F8"/>
              <w:bottom w:val="single" w:sz="10" w:space="0" w:color="D0E2F8"/>
              <w:end w:val="single" w:sz="10" w:space="0" w:color="D0E2F8"/>
            </w:tcBorders>
            <w:shd w:fill="F3F8FF" w:val="clear"/>
          </w:tcPr>
          <w:p>
            <w:pPr>
              <w:pStyle w:val="Normal"/>
              <w:spacing w:lineRule="auto" w:line="276" w:before="80" w:after="80"/>
              <w:jc w:val="start"/>
              <w:rPr>
                <w:lang w:val="es-ES"/>
              </w:rPr>
            </w:pPr>
            <w:r>
              <w:rPr>
                <w:b/>
                <w:color w:val="223E66"/>
                <w:lang w:val="es-ES"/>
              </w:rPr>
              <w:t xml:space="preserve">Fuente base. </w:t>
            </w:r>
            <w:r>
              <w:rPr>
                <w:color w:val="374351"/>
                <w:lang w:val="es-ES"/>
              </w:rPr>
              <w:t>Las páginas siguientes provienen del anexo gráfico con iconografía real. Se incorporan como imágenes completas para evitar cortes, reflujo y superposición de texto.</w:t>
            </w:r>
          </w:p>
        </w:tc>
      </w:tr>
    </w:tbl>
    <w:p>
      <w:pPr>
        <w:pStyle w:val="Normal"/>
        <w:rPr>
          <w:lang w:val="es-ES"/>
        </w:rPr>
      </w:pPr>
      <w:r>
        <w:rPr>
          <w:lang w:val="es-ES"/>
        </w:rPr>
      </w:r>
    </w:p>
    <w:p>
      <w:pPr>
        <w:pStyle w:val="Normal"/>
        <w:rPr>
          <w:lang w:val="es-ES"/>
        </w:rPr>
      </w:pPr>
      <w:r>
        <w:rPr>
          <w:lang w:val="es-ES"/>
        </w:rPr>
      </w:r>
      <w:r>
        <w:br w:type="page"/>
      </w:r>
    </w:p>
    <w:p>
      <w:pPr>
        <w:pStyle w:val="Normal"/>
        <w:spacing w:lineRule="auto" w:line="240" w:before="0" w:after="80"/>
        <w:jc w:val="center"/>
        <w:rPr>
          <w:lang w:val="es-ES"/>
        </w:rPr>
      </w:pPr>
      <w:r>
        <w:rPr>
          <w:lang w:val="es-ES"/>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6408420" cy="8507730"/>
            <wp:effectExtent l="0" t="0" r="0" b="0"/>
            <wp:wrapSquare wrapText="largest"/>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5"/>
                    <a:stretch>
                      <a:fillRect/>
                    </a:stretch>
                  </pic:blipFill>
                  <pic:spPr bwMode="auto">
                    <a:xfrm>
                      <a:off x="0" y="0"/>
                      <a:ext cx="6408420" cy="8507730"/>
                    </a:xfrm>
                    <a:prstGeom prst="rect">
                      <a:avLst/>
                    </a:prstGeom>
                    <a:noFill/>
                  </pic:spPr>
                </pic:pic>
              </a:graphicData>
            </a:graphic>
          </wp:anchor>
        </w:drawing>
      </w:r>
    </w:p>
    <w:p>
      <w:pPr>
        <w:pStyle w:val="Normal"/>
        <w:rPr>
          <w:lang w:val="es-ES"/>
        </w:rPr>
      </w:pPr>
      <w:r>
        <w:rPr>
          <w:lang w:val="es-ES"/>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408420" cy="8576310"/>
            <wp:effectExtent l="0" t="0" r="0" b="0"/>
            <wp:wrapSquare wrapText="largest"/>
            <wp:docPr id="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pic:cNvPicPr>
                      <a:picLocks noChangeAspect="1" noChangeArrowheads="1"/>
                    </pic:cNvPicPr>
                  </pic:nvPicPr>
                  <pic:blipFill>
                    <a:blip r:embed="rId6"/>
                    <a:stretch>
                      <a:fillRect/>
                    </a:stretch>
                  </pic:blipFill>
                  <pic:spPr bwMode="auto">
                    <a:xfrm>
                      <a:off x="0" y="0"/>
                      <a:ext cx="6408420" cy="8576310"/>
                    </a:xfrm>
                    <a:prstGeom prst="rect">
                      <a:avLst/>
                    </a:prstGeom>
                    <a:noFill/>
                  </pic:spPr>
                </pic:pic>
              </a:graphicData>
            </a:graphic>
          </wp:anchor>
        </w:drawing>
      </w:r>
      <w:r>
        <w:br w:type="page"/>
      </w:r>
    </w:p>
    <w:p>
      <w:pPr>
        <w:pStyle w:val="Normal"/>
        <w:spacing w:lineRule="auto" w:line="240" w:before="0" w:after="80"/>
        <w:jc w:val="center"/>
        <w:rPr>
          <w:lang w:val="es-ES"/>
        </w:rPr>
      </w:pPr>
      <w:r>
        <w:rPr>
          <w:lang w:val="es-ES"/>
        </w:rPr>
      </w:r>
    </w:p>
    <w:p>
      <w:pPr>
        <w:pStyle w:val="Normal"/>
        <w:rPr>
          <w:lang w:val="es-ES"/>
        </w:rPr>
      </w:pPr>
      <w:r>
        <w:rPr>
          <w:lang w:val="es-ES"/>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6408420" cy="8574405"/>
            <wp:effectExtent l="0" t="0" r="0" b="0"/>
            <wp:wrapSquare wrapText="largest"/>
            <wp:docPr id="6"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pic:cNvPicPr>
                      <a:picLocks noChangeAspect="1" noChangeArrowheads="1"/>
                    </pic:cNvPicPr>
                  </pic:nvPicPr>
                  <pic:blipFill>
                    <a:blip r:embed="rId7"/>
                    <a:stretch>
                      <a:fillRect/>
                    </a:stretch>
                  </pic:blipFill>
                  <pic:spPr bwMode="auto">
                    <a:xfrm>
                      <a:off x="0" y="0"/>
                      <a:ext cx="6408420" cy="8574405"/>
                    </a:xfrm>
                    <a:prstGeom prst="rect">
                      <a:avLst/>
                    </a:prstGeom>
                    <a:noFill/>
                  </pic:spPr>
                </pic:pic>
              </a:graphicData>
            </a:graphic>
          </wp:anchor>
        </w:drawing>
      </w:r>
      <w:r>
        <w:br w:type="page"/>
      </w:r>
    </w:p>
    <w:p>
      <w:pPr>
        <w:pStyle w:val="Normal"/>
        <w:spacing w:lineRule="auto" w:line="240" w:before="0" w:after="80"/>
        <w:jc w:val="center"/>
        <w:rPr>
          <w:lang w:val="es-ES"/>
        </w:rPr>
      </w:pPr>
      <w:r>
        <w:rPr>
          <w:lang w:val="es-ES"/>
        </w:rPr>
      </w:r>
    </w:p>
    <w:p>
      <w:pPr>
        <w:pStyle w:val="Normal"/>
        <w:rPr>
          <w:lang w:val="es-ES"/>
        </w:rPr>
      </w:pPr>
      <w:r>
        <w:rPr>
          <w:lang w:val="es-ES"/>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408420" cy="8627745"/>
            <wp:effectExtent l="0" t="0" r="0" b="0"/>
            <wp:wrapSquare wrapText="largest"/>
            <wp:docPr id="7"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pic:cNvPicPr>
                      <a:picLocks noChangeAspect="1" noChangeArrowheads="1"/>
                    </pic:cNvPicPr>
                  </pic:nvPicPr>
                  <pic:blipFill>
                    <a:blip r:embed="rId8"/>
                    <a:stretch>
                      <a:fillRect/>
                    </a:stretch>
                  </pic:blipFill>
                  <pic:spPr bwMode="auto">
                    <a:xfrm>
                      <a:off x="0" y="0"/>
                      <a:ext cx="6408420" cy="8627745"/>
                    </a:xfrm>
                    <a:prstGeom prst="rect">
                      <a:avLst/>
                    </a:prstGeom>
                    <a:noFill/>
                  </pic:spPr>
                </pic:pic>
              </a:graphicData>
            </a:graphic>
          </wp:anchor>
        </w:drawing>
      </w:r>
      <w:r>
        <w:br w:type="page"/>
      </w:r>
    </w:p>
    <w:p>
      <w:pPr>
        <w:pStyle w:val="Normal"/>
        <w:spacing w:lineRule="auto" w:line="240" w:before="0" w:after="80"/>
        <w:jc w:val="center"/>
        <w:rPr>
          <w:lang w:val="es-ES"/>
        </w:rPr>
      </w:pPr>
      <w:r>
        <w:rPr>
          <w:lang w:val="es-ES"/>
        </w:rPr>
      </w:r>
    </w:p>
    <w:p>
      <w:pPr>
        <w:pStyle w:val="Normal"/>
        <w:rPr>
          <w:lang w:val="es-ES"/>
        </w:rPr>
      </w:pPr>
      <w:r>
        <w:rPr>
          <w:lang w:val="es-ES"/>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408420" cy="6491605"/>
            <wp:effectExtent l="0" t="0" r="0" b="0"/>
            <wp:wrapSquare wrapText="largest"/>
            <wp:docPr id="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pic:cNvPicPr>
                      <a:picLocks noChangeAspect="1" noChangeArrowheads="1"/>
                    </pic:cNvPicPr>
                  </pic:nvPicPr>
                  <pic:blipFill>
                    <a:blip r:embed="rId9"/>
                    <a:stretch>
                      <a:fillRect/>
                    </a:stretch>
                  </pic:blipFill>
                  <pic:spPr bwMode="auto">
                    <a:xfrm>
                      <a:off x="0" y="0"/>
                      <a:ext cx="6408420" cy="6491605"/>
                    </a:xfrm>
                    <a:prstGeom prst="rect">
                      <a:avLst/>
                    </a:prstGeom>
                    <a:noFill/>
                  </pic:spPr>
                </pic:pic>
              </a:graphicData>
            </a:graphic>
          </wp:anchor>
        </w:drawing>
      </w:r>
    </w:p>
    <w:p>
      <w:pPr>
        <w:pStyle w:val="Normal"/>
        <w:rPr>
          <w:lang w:val="es-ES"/>
        </w:rPr>
      </w:pPr>
      <w:r>
        <w:rPr>
          <w:lang w:val="es-ES"/>
        </w:rPr>
      </w:r>
      <w:r>
        <w:br w:type="page"/>
      </w:r>
    </w:p>
    <w:p>
      <w:pPr>
        <w:pStyle w:val="Heading1"/>
        <w:spacing w:lineRule="auto" w:line="240" w:before="0" w:after="80"/>
        <w:rPr>
          <w:lang w:val="es-ES"/>
        </w:rPr>
      </w:pPr>
      <w:r>
        <w:rPr>
          <w:lang w:val="es-ES"/>
        </w:rPr>
        <w:t>23. Flujos de trabajo recomendados</w:t>
      </w:r>
    </w:p>
    <w:p>
      <w:pPr>
        <w:pStyle w:val="Heading2"/>
        <w:spacing w:lineRule="auto" w:line="276" w:before="0" w:after="80"/>
        <w:rPr>
          <w:lang w:val="es-ES"/>
        </w:rPr>
      </w:pPr>
      <w:r>
        <w:rPr>
          <w:rFonts w:ascii="Segoe UI" w:hAnsi="Segoe UI"/>
          <w:lang w:val="es-ES"/>
        </w:rPr>
        <w:t>23.1 Cargar y organizar un proyecto</w:t>
      </w:r>
    </w:p>
    <w:p>
      <w:pPr>
        <w:pStyle w:val="ListNumber"/>
        <w:numPr>
          <w:ilvl w:val="0"/>
          <w:numId w:val="4"/>
        </w:numPr>
        <w:spacing w:lineRule="auto" w:line="276" w:before="0" w:after="60"/>
        <w:ind w:hanging="360" w:start="113"/>
        <w:contextualSpacing/>
        <w:rPr>
          <w:lang w:val="es-ES"/>
        </w:rPr>
      </w:pPr>
      <w:r>
        <w:rPr>
          <w:sz w:val="21"/>
          <w:lang w:val="es-ES"/>
        </w:rPr>
        <w:t>Crear o abrir un proyecto.</w:t>
      </w:r>
    </w:p>
    <w:p>
      <w:pPr>
        <w:pStyle w:val="ListNumber"/>
        <w:numPr>
          <w:ilvl w:val="0"/>
          <w:numId w:val="4"/>
        </w:numPr>
        <w:spacing w:lineRule="auto" w:line="276" w:before="0" w:after="60"/>
        <w:ind w:hanging="360" w:start="113"/>
        <w:contextualSpacing/>
        <w:rPr>
          <w:lang w:val="es-ES"/>
        </w:rPr>
      </w:pPr>
      <w:r>
        <w:rPr>
          <w:sz w:val="21"/>
          <w:lang w:val="es-ES"/>
        </w:rPr>
        <w:t>Definir el CRS del proyecto si corresponde.</w:t>
      </w:r>
    </w:p>
    <w:p>
      <w:pPr>
        <w:pStyle w:val="ListNumber"/>
        <w:numPr>
          <w:ilvl w:val="0"/>
          <w:numId w:val="4"/>
        </w:numPr>
        <w:spacing w:lineRule="auto" w:line="276" w:before="0" w:after="60"/>
        <w:ind w:hanging="360" w:start="113"/>
        <w:contextualSpacing/>
        <w:rPr>
          <w:lang w:val="es-ES"/>
        </w:rPr>
      </w:pPr>
      <w:r>
        <w:rPr>
          <w:sz w:val="21"/>
          <w:lang w:val="es-ES"/>
        </w:rPr>
        <w:t>Agregar capas locales, tablas o servicios.</w:t>
      </w:r>
    </w:p>
    <w:p>
      <w:pPr>
        <w:pStyle w:val="ListNumber"/>
        <w:numPr>
          <w:ilvl w:val="0"/>
          <w:numId w:val="4"/>
        </w:numPr>
        <w:spacing w:lineRule="auto" w:line="276" w:before="0" w:after="60"/>
        <w:ind w:hanging="360" w:start="113"/>
        <w:contextualSpacing/>
        <w:rPr>
          <w:lang w:val="es-ES"/>
        </w:rPr>
      </w:pPr>
      <w:r>
        <w:rPr>
          <w:sz w:val="21"/>
          <w:lang w:val="es-ES"/>
        </w:rPr>
        <w:t>Ordenar el gestor de proyecto con la lógica frente / fondo.</w:t>
      </w:r>
    </w:p>
    <w:p>
      <w:pPr>
        <w:pStyle w:val="ListNumber"/>
        <w:numPr>
          <w:ilvl w:val="0"/>
          <w:numId w:val="4"/>
        </w:numPr>
        <w:spacing w:lineRule="auto" w:line="276" w:before="0" w:after="60"/>
        <w:ind w:hanging="360" w:start="113"/>
        <w:contextualSpacing/>
        <w:rPr>
          <w:lang w:val="es-ES"/>
        </w:rPr>
      </w:pPr>
      <w:r>
        <w:rPr>
          <w:sz w:val="21"/>
          <w:lang w:val="es-ES"/>
        </w:rPr>
        <w:t>Guardar el proyecto antes de comenzar análisis o edición intensiva.</w:t>
      </w:r>
    </w:p>
    <w:p>
      <w:pPr>
        <w:pStyle w:val="Heading2"/>
        <w:spacing w:lineRule="auto" w:line="276" w:before="0" w:after="80"/>
        <w:rPr>
          <w:lang w:val="es-ES"/>
        </w:rPr>
      </w:pPr>
      <w:r>
        <w:rPr>
          <w:rFonts w:ascii="Segoe UI" w:hAnsi="Segoe UI"/>
          <w:lang w:val="es-ES"/>
        </w:rPr>
        <w:t>23.2 Editar y digitalizar</w:t>
      </w:r>
    </w:p>
    <w:p>
      <w:pPr>
        <w:pStyle w:val="ListNumber"/>
        <w:numPr>
          <w:ilvl w:val="0"/>
          <w:numId w:val="4"/>
        </w:numPr>
        <w:spacing w:lineRule="auto" w:line="276" w:before="0" w:after="60"/>
        <w:ind w:hanging="360" w:start="113"/>
        <w:contextualSpacing/>
        <w:rPr>
          <w:lang w:val="es-ES"/>
        </w:rPr>
      </w:pPr>
      <w:r>
        <w:rPr>
          <w:sz w:val="21"/>
          <w:lang w:val="es-ES"/>
        </w:rPr>
        <w:t>Seleccionar o crear una capa vectorial editable.</w:t>
      </w:r>
    </w:p>
    <w:p>
      <w:pPr>
        <w:pStyle w:val="ListNumber"/>
        <w:numPr>
          <w:ilvl w:val="0"/>
          <w:numId w:val="4"/>
        </w:numPr>
        <w:spacing w:lineRule="auto" w:line="276" w:before="0" w:after="60"/>
        <w:ind w:hanging="360" w:start="113"/>
        <w:contextualSpacing/>
        <w:rPr>
          <w:lang w:val="es-ES"/>
        </w:rPr>
      </w:pPr>
      <w:r>
        <w:rPr>
          <w:sz w:val="21"/>
          <w:lang w:val="es-ES"/>
        </w:rPr>
        <w:t>Activar SNAP si se necesita precisión geométrica.</w:t>
      </w:r>
    </w:p>
    <w:p>
      <w:pPr>
        <w:pStyle w:val="ListNumber"/>
        <w:numPr>
          <w:ilvl w:val="0"/>
          <w:numId w:val="4"/>
        </w:numPr>
        <w:spacing w:lineRule="auto" w:line="276" w:before="0" w:after="60"/>
        <w:ind w:hanging="360" w:start="113"/>
        <w:contextualSpacing/>
        <w:rPr>
          <w:lang w:val="es-ES"/>
        </w:rPr>
      </w:pPr>
      <w:r>
        <w:rPr>
          <w:sz w:val="21"/>
          <w:lang w:val="es-ES"/>
        </w:rPr>
        <w:t>Usar herramientas de dibujo o CAD según el tipo de geometría.</w:t>
      </w:r>
    </w:p>
    <w:p>
      <w:pPr>
        <w:pStyle w:val="ListNumber"/>
        <w:numPr>
          <w:ilvl w:val="0"/>
          <w:numId w:val="4"/>
        </w:numPr>
        <w:spacing w:lineRule="auto" w:line="276" w:before="0" w:after="60"/>
        <w:ind w:hanging="360" w:start="113"/>
        <w:contextualSpacing/>
        <w:rPr>
          <w:lang w:val="es-ES"/>
        </w:rPr>
      </w:pPr>
      <w:r>
        <w:rPr>
          <w:sz w:val="21"/>
          <w:lang w:val="es-ES"/>
        </w:rPr>
        <w:t>Revisar atributos y aplicar correcciones de vértices.</w:t>
      </w:r>
    </w:p>
    <w:p>
      <w:pPr>
        <w:pStyle w:val="ListNumber"/>
        <w:numPr>
          <w:ilvl w:val="0"/>
          <w:numId w:val="4"/>
        </w:numPr>
        <w:spacing w:lineRule="auto" w:line="276" w:before="0" w:after="60"/>
        <w:ind w:hanging="360" w:start="113"/>
        <w:contextualSpacing/>
        <w:rPr>
          <w:lang w:val="es-ES"/>
        </w:rPr>
      </w:pPr>
      <w:r>
        <w:rPr>
          <w:sz w:val="21"/>
          <w:lang w:val="es-ES"/>
        </w:rPr>
        <w:t>Salvar cambios y finalizar la sesión.</w:t>
      </w:r>
    </w:p>
    <w:p>
      <w:pPr>
        <w:pStyle w:val="Heading2"/>
        <w:spacing w:lineRule="auto" w:line="276" w:before="0" w:after="80"/>
        <w:rPr>
          <w:lang w:val="es-ES"/>
        </w:rPr>
      </w:pPr>
      <w:r>
        <w:rPr>
          <w:rFonts w:ascii="Segoe UI" w:hAnsi="Segoe UI"/>
          <w:lang w:val="es-ES"/>
        </w:rPr>
        <w:t>23.3 Trabajar con DEM e hidrología</w:t>
      </w:r>
    </w:p>
    <w:p>
      <w:pPr>
        <w:pStyle w:val="ListNumber"/>
        <w:numPr>
          <w:ilvl w:val="0"/>
          <w:numId w:val="4"/>
        </w:numPr>
        <w:spacing w:lineRule="auto" w:line="276" w:before="0" w:after="60"/>
        <w:ind w:hanging="360" w:start="113"/>
        <w:contextualSpacing/>
        <w:rPr>
          <w:lang w:val="es-ES"/>
        </w:rPr>
      </w:pPr>
      <w:r>
        <w:rPr>
          <w:sz w:val="21"/>
          <w:lang w:val="es-ES"/>
        </w:rPr>
        <w:t>Cargar o descargar un DEM.</w:t>
      </w:r>
    </w:p>
    <w:p>
      <w:pPr>
        <w:pStyle w:val="ListNumber"/>
        <w:numPr>
          <w:ilvl w:val="0"/>
          <w:numId w:val="4"/>
        </w:numPr>
        <w:spacing w:lineRule="auto" w:line="276" w:before="0" w:after="60"/>
        <w:ind w:hanging="360" w:start="113"/>
        <w:contextualSpacing/>
        <w:rPr>
          <w:lang w:val="es-ES"/>
        </w:rPr>
      </w:pPr>
      <w:r>
        <w:rPr>
          <w:sz w:val="21"/>
          <w:lang w:val="es-ES"/>
        </w:rPr>
        <w:t>Recortarlo si el área útil es menor que el raster completo.</w:t>
      </w:r>
    </w:p>
    <w:p>
      <w:pPr>
        <w:pStyle w:val="ListNumber"/>
        <w:numPr>
          <w:ilvl w:val="0"/>
          <w:numId w:val="4"/>
        </w:numPr>
        <w:spacing w:lineRule="auto" w:line="276" w:before="0" w:after="60"/>
        <w:ind w:hanging="360" w:start="113"/>
        <w:contextualSpacing/>
        <w:rPr>
          <w:lang w:val="es-ES"/>
        </w:rPr>
      </w:pPr>
      <w:r>
        <w:rPr>
          <w:sz w:val="21"/>
          <w:lang w:val="es-ES"/>
        </w:rPr>
        <w:t>Generar relieve, escorrentías, drenajes y cuencas según necesidad.</w:t>
      </w:r>
    </w:p>
    <w:p>
      <w:pPr>
        <w:pStyle w:val="ListNumber"/>
        <w:numPr>
          <w:ilvl w:val="0"/>
          <w:numId w:val="4"/>
        </w:numPr>
        <w:spacing w:lineRule="auto" w:line="276" w:before="0" w:after="60"/>
        <w:ind w:hanging="360" w:start="113"/>
        <w:contextualSpacing/>
        <w:rPr>
          <w:lang w:val="es-ES"/>
        </w:rPr>
      </w:pPr>
      <w:r>
        <w:rPr>
          <w:sz w:val="21"/>
          <w:lang w:val="es-ES"/>
        </w:rPr>
        <w:t>Controlar el CRS operativo antes de mezclar resultados.</w:t>
      </w:r>
    </w:p>
    <w:p>
      <w:pPr>
        <w:pStyle w:val="ListNumber"/>
        <w:numPr>
          <w:ilvl w:val="0"/>
          <w:numId w:val="4"/>
        </w:numPr>
        <w:spacing w:lineRule="auto" w:line="276" w:before="0" w:after="60"/>
        <w:ind w:hanging="360" w:start="113"/>
        <w:contextualSpacing/>
        <w:rPr>
          <w:lang w:val="es-ES"/>
        </w:rPr>
      </w:pPr>
      <w:r>
        <w:rPr>
          <w:sz w:val="21"/>
          <w:lang w:val="es-ES"/>
        </w:rPr>
        <w:t>Guardar una versión de proyecto al cerrar cada etapa relevante.</w:t>
      </w:r>
    </w:p>
    <w:p>
      <w:pPr>
        <w:pStyle w:val="Heading2"/>
        <w:spacing w:lineRule="auto" w:line="276" w:before="0" w:after="80"/>
        <w:rPr>
          <w:lang w:val="es-ES"/>
        </w:rPr>
      </w:pPr>
      <w:r>
        <w:rPr>
          <w:rFonts w:ascii="Segoe UI" w:hAnsi="Segoe UI"/>
          <w:lang w:val="es-ES"/>
        </w:rPr>
        <w:t>23.4 Cruzar suelos y riesgo preliminar</w:t>
      </w:r>
    </w:p>
    <w:p>
      <w:pPr>
        <w:pStyle w:val="ListNumber"/>
        <w:numPr>
          <w:ilvl w:val="0"/>
          <w:numId w:val="4"/>
        </w:numPr>
        <w:spacing w:lineRule="auto" w:line="276" w:before="0" w:after="60"/>
        <w:ind w:hanging="360" w:start="113"/>
        <w:contextualSpacing/>
        <w:rPr>
          <w:lang w:val="es-ES"/>
        </w:rPr>
      </w:pPr>
      <w:r>
        <w:rPr>
          <w:sz w:val="21"/>
          <w:lang w:val="es-ES"/>
        </w:rPr>
        <w:t>Descargar un raster de suelos coherente con el área de trabajo.</w:t>
      </w:r>
    </w:p>
    <w:p>
      <w:pPr>
        <w:pStyle w:val="ListNumber"/>
        <w:numPr>
          <w:ilvl w:val="0"/>
          <w:numId w:val="4"/>
        </w:numPr>
        <w:spacing w:lineRule="auto" w:line="276" w:before="0" w:after="60"/>
        <w:ind w:hanging="360" w:start="113"/>
        <w:contextualSpacing/>
        <w:rPr>
          <w:lang w:val="es-ES"/>
        </w:rPr>
      </w:pPr>
      <w:r>
        <w:rPr>
          <w:sz w:val="21"/>
          <w:lang w:val="es-ES"/>
        </w:rPr>
        <w:t>Verificar que el raster de suelos y el DEM se intercepten realmente.</w:t>
      </w:r>
    </w:p>
    <w:p>
      <w:pPr>
        <w:pStyle w:val="ListNumber"/>
        <w:numPr>
          <w:ilvl w:val="0"/>
          <w:numId w:val="4"/>
        </w:numPr>
        <w:spacing w:lineRule="auto" w:line="276" w:before="0" w:after="60"/>
        <w:ind w:hanging="360" w:start="113"/>
        <w:contextualSpacing/>
        <w:rPr>
          <w:lang w:val="es-ES"/>
        </w:rPr>
      </w:pPr>
      <w:r>
        <w:rPr>
          <w:sz w:val="21"/>
          <w:lang w:val="es-ES"/>
        </w:rPr>
        <w:t>Definir umbrales de pendiente y de suelo.</w:t>
      </w:r>
    </w:p>
    <w:p>
      <w:pPr>
        <w:pStyle w:val="ListNumber"/>
        <w:numPr>
          <w:ilvl w:val="0"/>
          <w:numId w:val="4"/>
        </w:numPr>
        <w:spacing w:lineRule="auto" w:line="276" w:before="0" w:after="60"/>
        <w:ind w:hanging="360" w:start="113"/>
        <w:contextualSpacing/>
        <w:rPr>
          <w:lang w:val="es-ES"/>
        </w:rPr>
      </w:pPr>
      <w:r>
        <w:rPr>
          <w:sz w:val="21"/>
          <w:lang w:val="es-ES"/>
        </w:rPr>
        <w:t>Elegir lógica AND u OR según el criterio técnico.</w:t>
      </w:r>
    </w:p>
    <w:p>
      <w:pPr>
        <w:pStyle w:val="ListNumber"/>
        <w:numPr>
          <w:ilvl w:val="0"/>
          <w:numId w:val="4"/>
        </w:numPr>
        <w:spacing w:lineRule="auto" w:line="276" w:before="0" w:after="60"/>
        <w:ind w:hanging="360" w:start="113"/>
        <w:contextualSpacing/>
        <w:rPr>
          <w:lang w:val="es-ES"/>
        </w:rPr>
      </w:pPr>
      <w:r>
        <w:rPr>
          <w:sz w:val="21"/>
          <w:lang w:val="es-ES"/>
        </w:rPr>
        <w:t>Revisar el raster final y, si conviene, vectorizar zonas positivas.</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907" w:right="907" w:gutter="0" w:header="720" w:top="907" w:footer="720" w:bottom="102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egoe UI">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092"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3364"/>
      <w:gridCol w:w="3364"/>
      <w:gridCol w:w="3364"/>
    </w:tblGrid>
    <w:tr>
      <w:trPr/>
      <w:tc>
        <w:tcPr>
          <w:tcW w:w="3364" w:type="dxa"/>
          <w:tcBorders/>
        </w:tcPr>
        <w:p>
          <w:pPr>
            <w:pStyle w:val="Normal"/>
            <w:spacing w:before="0" w:after="200"/>
            <w:jc w:val="start"/>
            <w:rPr/>
          </w:pPr>
          <w:r>
            <w:rPr>
              <w:color w:val="5D6A7D"/>
              <w:sz w:val="18"/>
            </w:rPr>
            <w:t>CATGIS Desktop  •  Manual profesional 2026</w:t>
          </w:r>
        </w:p>
      </w:tc>
      <w:tc>
        <w:tcPr>
          <w:tcW w:w="3364" w:type="dxa"/>
          <w:tcBorders/>
        </w:tcPr>
        <w:p>
          <w:pPr>
            <w:pStyle w:val="Normal"/>
            <w:spacing w:before="0" w:after="200"/>
            <w:jc w:val="center"/>
            <w:rPr/>
          </w:pPr>
          <w:r>
            <w:rPr>
              <w:sz w:val="21"/>
            </w:rPr>
            <w:fldChar w:fldCharType="begin"/>
          </w:r>
          <w:r>
            <w:rPr>
              <w:sz w:val="21"/>
            </w:rPr>
            <w:instrText xml:space="preserve"> PAGE </w:instrText>
          </w:r>
          <w:r>
            <w:rPr>
              <w:sz w:val="21"/>
            </w:rPr>
            <w:fldChar w:fldCharType="separate"/>
          </w:r>
          <w:r>
            <w:rPr>
              <w:sz w:val="21"/>
            </w:rPr>
            <w:t>23</w:t>
          </w:r>
          <w:r>
            <w:rPr>
              <w:sz w:val="21"/>
            </w:rPr>
            <w:fldChar w:fldCharType="end"/>
          </w:r>
        </w:p>
      </w:tc>
      <w:tc>
        <w:tcPr>
          <w:tcW w:w="3364" w:type="dxa"/>
          <w:tcBorders/>
        </w:tcPr>
        <w:p>
          <w:pPr>
            <w:pStyle w:val="Normal"/>
            <w:spacing w:before="0" w:after="200"/>
            <w:jc w:val="end"/>
            <w:rPr/>
          </w:pPr>
          <w:r>
            <w:rPr>
              <w:color w:val="5D6A7D"/>
              <w:sz w:val="18"/>
            </w:rPr>
            <w:t>Versión 1.0.0 Beta final (rev. 14)</w:t>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1009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6"/>
      <w:gridCol w:w="5046"/>
    </w:tblGrid>
    <w:tr>
      <w:trPr/>
      <w:tc>
        <w:tcPr>
          <w:tcW w:w="5046" w:type="dxa"/>
          <w:tcBorders/>
        </w:tcPr>
        <w:p>
          <w:pPr>
            <w:pStyle w:val="Normal"/>
            <w:spacing w:lineRule="auto" w:line="240" w:before="0" w:after="0"/>
            <w:jc w:val="start"/>
            <w:rPr/>
          </w:pPr>
          <w:r>
            <w:rPr>
              <w:color w:val="5D6A7D"/>
              <w:sz w:val="22"/>
            </w:rPr>
            <w:t>MANUAL DE USUARIO 2026  •  CATGIS DESKTOP</w:t>
          </w:r>
        </w:p>
      </w:tc>
      <w:tc>
        <w:tcPr>
          <w:tcW w:w="5046" w:type="dxa"/>
          <w:tcBorders/>
        </w:tcPr>
        <w:p>
          <w:pPr>
            <w:pStyle w:val="Normal"/>
            <w:spacing w:lineRule="auto" w:line="240" w:before="0" w:after="0"/>
            <w:jc w:val="end"/>
            <w:rPr/>
          </w:pPr>
          <w:r>
            <w:rPr/>
            <w:drawing>
              <wp:inline distT="0" distB="0" distL="0" distR="0">
                <wp:extent cx="311150" cy="311150"/>
                <wp:effectExtent l="0" t="0" r="0" b="0"/>
                <wp:docPr id="9"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2"/>
                        <pic:cNvPicPr>
                          <a:picLocks noChangeAspect="1" noChangeArrowheads="1"/>
                        </pic:cNvPicPr>
                      </pic:nvPicPr>
                      <pic:blipFill>
                        <a:blip r:embed="rId1"/>
                        <a:stretch>
                          <a:fillRect/>
                        </a:stretch>
                      </pic:blipFill>
                      <pic:spPr bwMode="auto">
                        <a:xfrm>
                          <a:off x="0" y="0"/>
                          <a:ext cx="311150" cy="311150"/>
                        </a:xfrm>
                        <a:prstGeom prst="rect">
                          <a:avLst/>
                        </a:prstGeom>
                        <a:noFill/>
                      </pic:spPr>
                    </pic:pic>
                  </a:graphicData>
                </a:graphic>
              </wp:inline>
            </w:drawing>
          </w:r>
          <w:r>
            <w:rPr>
              <w:color w:val="162F5C"/>
              <w:sz w:val="24"/>
            </w:rPr>
            <w:t xml:space="preserve">  </w:t>
          </w:r>
          <w:r>
            <w:rPr>
              <w:color w:val="162F5C"/>
              <w:sz w:val="24"/>
            </w:rPr>
            <w:t>CATGIS DESKTOP</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Segoe UI" w:hAnsi="Segoe UI" w:eastAsia="ＭＳ 明朝" w:cs=""/>
      <w:color w:val="2C3543"/>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52F5E"/>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52F5E"/>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52F5E"/>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52F5E"/>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LibreOffice/26.2.2.2$Windows_X86_64 LibreOffice_project/1f77d10d6938fd34972958f64b2bcfa54f8b1ba5</Application>
  <AppVersion>15.0000</AppVersion>
  <Pages>23</Pages>
  <Words>2590</Words>
  <Characters>14568</Characters>
  <CharactersWithSpaces>16785</CharactersWithSpaces>
  <Paragraphs>281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es-MX</dc:language>
  <cp:lastModifiedBy/>
  <dcterms:modified xsi:type="dcterms:W3CDTF">2026-04-12T17:58:01Z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